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A67" w:rsidRDefault="00245A67" w:rsidP="00245A67">
      <w:pPr>
        <w:pStyle w:val="a8"/>
        <w:spacing w:before="0" w:beforeAutospacing="0" w:after="0" w:afterAutospacing="0"/>
        <w:jc w:val="center"/>
        <w:rPr>
          <w:noProof/>
        </w:rPr>
      </w:pPr>
      <w:r w:rsidRPr="00FF13FF">
        <w:rPr>
          <w:noProof/>
        </w:rPr>
        <w:drawing>
          <wp:inline distT="0" distB="0" distL="0" distR="0" wp14:anchorId="473540DD" wp14:editId="61063A38">
            <wp:extent cx="914400" cy="504825"/>
            <wp:effectExtent l="0" t="0" r="0" b="9525"/>
            <wp:docPr id="1" name="Рисунок 1" descr="C:\Users\ZaninaLA\Desktop\image-14-05-25-11-08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ZaninaLA\Desktop\image-14-05-25-11-08 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5A67" w:rsidRDefault="00245A67" w:rsidP="00245A67">
      <w:pPr>
        <w:pStyle w:val="a8"/>
        <w:spacing w:before="0" w:beforeAutospacing="0" w:after="0" w:afterAutospacing="0"/>
        <w:jc w:val="center"/>
        <w:rPr>
          <w:rFonts w:eastAsia="Calibri"/>
          <w:bCs/>
          <w:color w:val="222222"/>
        </w:rPr>
      </w:pPr>
      <w:r w:rsidRPr="00AA272B">
        <w:rPr>
          <w:rFonts w:eastAsia="Calibri"/>
          <w:bCs/>
          <w:color w:val="222222"/>
        </w:rPr>
        <w:t>государственное автономное профессиональное образовательное учреждение</w:t>
      </w:r>
    </w:p>
    <w:p w:rsidR="00245A67" w:rsidRPr="00AA272B" w:rsidRDefault="00245A67" w:rsidP="00245A67">
      <w:pPr>
        <w:pStyle w:val="a8"/>
        <w:spacing w:before="0" w:beforeAutospacing="0" w:after="0" w:afterAutospacing="0"/>
        <w:jc w:val="center"/>
        <w:rPr>
          <w:rFonts w:eastAsia="Calibri"/>
          <w:bCs/>
          <w:color w:val="222222"/>
          <w:lang w:eastAsia="zh-CN"/>
        </w:rPr>
      </w:pPr>
      <w:r w:rsidRPr="00AA272B">
        <w:rPr>
          <w:rFonts w:eastAsia="Calibri"/>
          <w:bCs/>
          <w:color w:val="222222"/>
        </w:rPr>
        <w:t xml:space="preserve"> Свердловской области</w:t>
      </w:r>
    </w:p>
    <w:p w:rsidR="00245A67" w:rsidRPr="00245A67" w:rsidRDefault="00245A67" w:rsidP="00245A67">
      <w:pPr>
        <w:shd w:val="clear" w:color="auto" w:fill="FFFFFF"/>
        <w:adjustRightInd w:val="0"/>
        <w:spacing w:before="0" w:beforeAutospacing="0" w:after="0" w:afterAutospacing="0"/>
        <w:jc w:val="center"/>
        <w:rPr>
          <w:rFonts w:eastAsia="Calibri"/>
          <w:bCs/>
          <w:color w:val="222222"/>
          <w:lang w:val="ru-RU"/>
        </w:rPr>
      </w:pPr>
      <w:r w:rsidRPr="00245A67">
        <w:rPr>
          <w:rFonts w:eastAsia="Calibri"/>
          <w:bCs/>
          <w:color w:val="222222"/>
          <w:lang w:val="ru-RU"/>
        </w:rPr>
        <w:t>«</w:t>
      </w:r>
      <w:r w:rsidRPr="00245A67">
        <w:rPr>
          <w:rFonts w:eastAsia="Calibri"/>
          <w:b/>
          <w:bCs/>
          <w:color w:val="222222"/>
          <w:lang w:val="ru-RU"/>
        </w:rPr>
        <w:t>АЛАПАЕВСКИЙ МНОГОПРОФИЛЬНЫЙ ТЕХНИКУМ</w:t>
      </w:r>
      <w:r w:rsidRPr="00245A67">
        <w:rPr>
          <w:rFonts w:eastAsia="Calibri"/>
          <w:bCs/>
          <w:color w:val="222222"/>
          <w:lang w:val="ru-RU"/>
        </w:rPr>
        <w:t>»</w:t>
      </w:r>
    </w:p>
    <w:p w:rsidR="00245A67" w:rsidRPr="00245A67" w:rsidRDefault="00245A67" w:rsidP="00245A67">
      <w:pPr>
        <w:shd w:val="clear" w:color="auto" w:fill="FFFFFF"/>
        <w:tabs>
          <w:tab w:val="left" w:pos="1290"/>
          <w:tab w:val="center" w:pos="5103"/>
        </w:tabs>
        <w:adjustRightInd w:val="0"/>
        <w:spacing w:before="0" w:beforeAutospacing="0" w:after="0" w:afterAutospacing="0"/>
        <w:rPr>
          <w:rFonts w:eastAsia="Calibri"/>
          <w:color w:val="000000"/>
          <w:lang w:val="ru-RU"/>
        </w:rPr>
      </w:pPr>
      <w:r w:rsidRPr="00245A67">
        <w:rPr>
          <w:rFonts w:eastAsia="Calibri"/>
          <w:color w:val="000000"/>
          <w:lang w:val="ru-RU"/>
        </w:rPr>
        <w:tab/>
      </w:r>
      <w:r w:rsidRPr="00245A67">
        <w:rPr>
          <w:rFonts w:eastAsia="Calibri"/>
          <w:color w:val="000000"/>
          <w:lang w:val="ru-RU"/>
        </w:rPr>
        <w:tab/>
        <w:t>62460</w:t>
      </w:r>
      <w:r>
        <w:rPr>
          <w:rFonts w:eastAsia="Calibri"/>
          <w:color w:val="000000"/>
          <w:lang w:val="ru-RU"/>
        </w:rPr>
        <w:t>0</w:t>
      </w:r>
      <w:r w:rsidRPr="00245A67">
        <w:rPr>
          <w:rFonts w:eastAsia="Calibri"/>
          <w:color w:val="000000"/>
          <w:lang w:val="ru-RU"/>
        </w:rPr>
        <w:t xml:space="preserve"> Свердловская область, г. Алапаевск, ул. Ленина 11, корпус 1</w:t>
      </w:r>
    </w:p>
    <w:p w:rsidR="00245A67" w:rsidRPr="00245A67" w:rsidRDefault="00245A67" w:rsidP="00245A67">
      <w:pPr>
        <w:shd w:val="clear" w:color="auto" w:fill="FFFFFF"/>
        <w:adjustRightInd w:val="0"/>
        <w:spacing w:before="0" w:beforeAutospacing="0" w:after="0" w:afterAutospacing="0"/>
        <w:jc w:val="center"/>
        <w:rPr>
          <w:rFonts w:eastAsia="Calibri"/>
          <w:color w:val="000000"/>
          <w:u w:val="single"/>
          <w:lang w:val="ru-RU"/>
        </w:rPr>
      </w:pPr>
      <w:r w:rsidRPr="00245A67">
        <w:rPr>
          <w:rFonts w:eastAsia="Calibri"/>
          <w:color w:val="000000"/>
          <w:lang w:val="ru-RU"/>
        </w:rPr>
        <w:t xml:space="preserve">Тел. (34346) 21664 Эл.адрес  </w:t>
      </w:r>
      <w:hyperlink r:id="rId8" w:history="1">
        <w:r w:rsidRPr="00245A67">
          <w:rPr>
            <w:rStyle w:val="a7"/>
            <w:rFonts w:eastAsia="Calibri"/>
            <w:lang w:val="ru-RU"/>
          </w:rPr>
          <w:t>ар</w:t>
        </w:r>
        <w:r w:rsidRPr="00AA272B">
          <w:rPr>
            <w:rStyle w:val="a7"/>
            <w:rFonts w:eastAsia="Calibri"/>
          </w:rPr>
          <w:t>li</w:t>
        </w:r>
        <w:r w:rsidRPr="00245A67">
          <w:rPr>
            <w:rStyle w:val="a7"/>
            <w:rFonts w:eastAsia="Calibri"/>
            <w:lang w:val="ru-RU"/>
          </w:rPr>
          <w:t>сеу@</w:t>
        </w:r>
        <w:r w:rsidRPr="00AA272B">
          <w:rPr>
            <w:rStyle w:val="a7"/>
            <w:rFonts w:eastAsia="Calibri"/>
          </w:rPr>
          <w:t>mail</w:t>
        </w:r>
        <w:r w:rsidRPr="00245A67">
          <w:rPr>
            <w:rStyle w:val="a7"/>
            <w:rFonts w:eastAsia="Calibri"/>
            <w:lang w:val="ru-RU"/>
          </w:rPr>
          <w:t>.</w:t>
        </w:r>
        <w:r w:rsidRPr="00AA272B">
          <w:rPr>
            <w:rStyle w:val="a7"/>
            <w:rFonts w:eastAsia="Calibri"/>
          </w:rPr>
          <w:t>ru</w:t>
        </w:r>
      </w:hyperlink>
    </w:p>
    <w:p w:rsidR="00245A67" w:rsidRPr="00245A67" w:rsidRDefault="00245A67" w:rsidP="00245A67">
      <w:pPr>
        <w:shd w:val="clear" w:color="auto" w:fill="FFFFFF"/>
        <w:adjustRightInd w:val="0"/>
        <w:spacing w:before="0" w:beforeAutospacing="0" w:after="0" w:afterAutospacing="0"/>
        <w:jc w:val="center"/>
        <w:rPr>
          <w:rFonts w:eastAsia="Calibri"/>
          <w:bCs/>
          <w:color w:val="222222"/>
          <w:lang w:val="ru-RU"/>
        </w:rPr>
      </w:pPr>
      <w:r w:rsidRPr="00AA272B">
        <w:rPr>
          <w:noProof/>
          <w:lang w:val="ru-RU"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6F471AD" wp14:editId="2AB9D2F0">
                <wp:simplePos x="0" y="0"/>
                <wp:positionH relativeFrom="column">
                  <wp:posOffset>-104775</wp:posOffset>
                </wp:positionH>
                <wp:positionV relativeFrom="paragraph">
                  <wp:posOffset>118744</wp:posOffset>
                </wp:positionV>
                <wp:extent cx="6424930" cy="0"/>
                <wp:effectExtent l="0" t="0" r="33020" b="1905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493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3D76F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-8.25pt;margin-top:9.35pt;width:505.9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" strokeweight="1pt"/>
            </w:pict>
          </mc:Fallback>
        </mc:AlternateContent>
      </w:r>
    </w:p>
    <w:p w:rsidR="00245A67" w:rsidRPr="00245A67" w:rsidRDefault="00245A67" w:rsidP="00245A67">
      <w:pPr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lang w:val="ru-RU"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6062"/>
        <w:gridCol w:w="4536"/>
      </w:tblGrid>
      <w:tr w:rsidR="00245A67" w:rsidRPr="00AA272B" w:rsidTr="00245A67">
        <w:tc>
          <w:tcPr>
            <w:tcW w:w="6062" w:type="dxa"/>
            <w:hideMark/>
          </w:tcPr>
          <w:p w:rsidR="00245A67" w:rsidRPr="00245A67" w:rsidRDefault="00245A67" w:rsidP="00245A67">
            <w:pPr>
              <w:spacing w:before="0" w:beforeAutospacing="0" w:after="0" w:afterAutospacing="0"/>
              <w:rPr>
                <w:bCs/>
                <w:color w:val="000000"/>
                <w:lang w:val="ru-RU"/>
              </w:rPr>
            </w:pPr>
            <w:r w:rsidRPr="00245A67">
              <w:rPr>
                <w:bCs/>
                <w:color w:val="000000"/>
                <w:lang w:val="ru-RU"/>
              </w:rPr>
              <w:t xml:space="preserve">СОГЛАСОВАНО </w:t>
            </w:r>
          </w:p>
          <w:p w:rsidR="00245A67" w:rsidRPr="00245A67" w:rsidRDefault="00245A67" w:rsidP="00245A67">
            <w:pPr>
              <w:spacing w:before="0" w:beforeAutospacing="0" w:after="0" w:afterAutospacing="0"/>
              <w:rPr>
                <w:bCs/>
                <w:color w:val="000000"/>
                <w:lang w:val="ru-RU"/>
              </w:rPr>
            </w:pPr>
            <w:r w:rsidRPr="00245A67">
              <w:rPr>
                <w:bCs/>
                <w:color w:val="000000"/>
                <w:lang w:val="ru-RU"/>
              </w:rPr>
              <w:t>Председатель Совета техникума</w:t>
            </w:r>
          </w:p>
          <w:p w:rsidR="00245A67" w:rsidRPr="00245A67" w:rsidRDefault="00245A67" w:rsidP="00245A67">
            <w:pPr>
              <w:spacing w:before="0" w:beforeAutospacing="0" w:after="0" w:afterAutospacing="0"/>
              <w:rPr>
                <w:bCs/>
                <w:color w:val="000000"/>
                <w:lang w:val="ru-RU"/>
              </w:rPr>
            </w:pPr>
            <w:r w:rsidRPr="00245A67">
              <w:rPr>
                <w:bCs/>
                <w:color w:val="000000"/>
                <w:lang w:val="ru-RU"/>
              </w:rPr>
              <w:t>ГАПОУ СО «АМТ»</w:t>
            </w:r>
          </w:p>
          <w:p w:rsidR="00245A67" w:rsidRDefault="00245A67" w:rsidP="00245A67">
            <w:pPr>
              <w:spacing w:before="0" w:beforeAutospacing="0" w:after="0" w:afterAutospacing="0"/>
              <w:rPr>
                <w:bCs/>
                <w:color w:val="000000"/>
              </w:rPr>
            </w:pPr>
            <w:r w:rsidRPr="00AA272B">
              <w:rPr>
                <w:bCs/>
                <w:color w:val="000000"/>
              </w:rPr>
              <w:t>_______________</w:t>
            </w:r>
            <w:r>
              <w:rPr>
                <w:bCs/>
                <w:color w:val="000000"/>
              </w:rPr>
              <w:t>Н.А. Фришина</w:t>
            </w:r>
          </w:p>
          <w:p w:rsidR="00245A67" w:rsidRPr="00AA272B" w:rsidRDefault="00245A67" w:rsidP="00245A67">
            <w:pPr>
              <w:spacing w:before="0" w:beforeAutospacing="0" w:after="0" w:afterAutospacing="0"/>
              <w:rPr>
                <w:bCs/>
                <w:color w:val="000000"/>
              </w:rPr>
            </w:pPr>
            <w:r w:rsidRPr="00AA272B">
              <w:rPr>
                <w:bCs/>
                <w:color w:val="000000"/>
              </w:rPr>
              <w:t>« ____» _____________ 202</w:t>
            </w:r>
            <w:r>
              <w:rPr>
                <w:bCs/>
                <w:color w:val="000000"/>
                <w:lang w:val="ru-RU"/>
              </w:rPr>
              <w:t>6</w:t>
            </w:r>
            <w:r w:rsidRPr="00AA272B">
              <w:rPr>
                <w:bCs/>
                <w:color w:val="000000"/>
              </w:rPr>
              <w:t xml:space="preserve"> г.</w:t>
            </w:r>
          </w:p>
        </w:tc>
        <w:tc>
          <w:tcPr>
            <w:tcW w:w="4536" w:type="dxa"/>
          </w:tcPr>
          <w:p w:rsidR="00245A67" w:rsidRPr="00245A67" w:rsidRDefault="00245A67" w:rsidP="00245A67">
            <w:pPr>
              <w:shd w:val="clear" w:color="auto" w:fill="FFFFFF"/>
              <w:spacing w:before="0" w:beforeAutospacing="0" w:after="0" w:afterAutospacing="0"/>
              <w:ind w:firstLine="884"/>
              <w:rPr>
                <w:bCs/>
                <w:color w:val="000000"/>
                <w:lang w:val="ru-RU"/>
              </w:rPr>
            </w:pPr>
            <w:r w:rsidRPr="00245A67">
              <w:rPr>
                <w:bCs/>
                <w:color w:val="000000"/>
                <w:lang w:val="ru-RU"/>
              </w:rPr>
              <w:t>УТВЕРЖДАЮ</w:t>
            </w:r>
          </w:p>
          <w:p w:rsidR="00245A67" w:rsidRPr="00245A67" w:rsidRDefault="00245A67" w:rsidP="00245A67">
            <w:pPr>
              <w:shd w:val="clear" w:color="auto" w:fill="FFFFFF"/>
              <w:spacing w:before="0" w:beforeAutospacing="0" w:after="0" w:afterAutospacing="0"/>
              <w:ind w:firstLine="884"/>
              <w:rPr>
                <w:bCs/>
                <w:color w:val="000000"/>
                <w:lang w:val="ru-RU"/>
              </w:rPr>
            </w:pPr>
            <w:r w:rsidRPr="00245A67">
              <w:rPr>
                <w:bCs/>
                <w:color w:val="000000"/>
                <w:lang w:val="ru-RU"/>
              </w:rPr>
              <w:t xml:space="preserve">Директор ГАПОУ СО «АМТ»         </w:t>
            </w:r>
          </w:p>
          <w:p w:rsidR="00245A67" w:rsidRPr="00AA272B" w:rsidRDefault="00245A67" w:rsidP="00245A67">
            <w:pPr>
              <w:shd w:val="clear" w:color="auto" w:fill="FFFFFF"/>
              <w:spacing w:before="0" w:beforeAutospacing="0" w:after="0" w:afterAutospacing="0"/>
              <w:ind w:firstLine="884"/>
              <w:rPr>
                <w:bCs/>
                <w:color w:val="000000"/>
              </w:rPr>
            </w:pPr>
            <w:r w:rsidRPr="00245A67">
              <w:rPr>
                <w:bCs/>
                <w:color w:val="000000"/>
                <w:lang w:val="ru-RU"/>
              </w:rPr>
              <w:t xml:space="preserve"> </w:t>
            </w:r>
            <w:r w:rsidRPr="00AA272B">
              <w:rPr>
                <w:bCs/>
                <w:color w:val="000000"/>
              </w:rPr>
              <w:t>___________ Т.И. Кургузкина</w:t>
            </w:r>
          </w:p>
          <w:p w:rsidR="00245A67" w:rsidRPr="00AA272B" w:rsidRDefault="00245A67" w:rsidP="00245A67">
            <w:pPr>
              <w:shd w:val="clear" w:color="auto" w:fill="FFFFFF"/>
              <w:spacing w:before="0" w:beforeAutospacing="0" w:after="0" w:afterAutospacing="0"/>
              <w:ind w:firstLine="884"/>
              <w:rPr>
                <w:bCs/>
                <w:color w:val="000000"/>
              </w:rPr>
            </w:pPr>
            <w:r w:rsidRPr="00AA272B">
              <w:rPr>
                <w:bCs/>
                <w:color w:val="000000"/>
              </w:rPr>
              <w:t>«___» _____________ 202</w:t>
            </w:r>
            <w:r>
              <w:rPr>
                <w:bCs/>
                <w:color w:val="000000"/>
                <w:lang w:val="ru-RU"/>
              </w:rPr>
              <w:t>6</w:t>
            </w:r>
            <w:r w:rsidRPr="00AA272B">
              <w:rPr>
                <w:bCs/>
                <w:color w:val="000000"/>
              </w:rPr>
              <w:t xml:space="preserve"> г.</w:t>
            </w:r>
          </w:p>
          <w:p w:rsidR="00245A67" w:rsidRPr="00AA272B" w:rsidRDefault="00245A67" w:rsidP="00245A67">
            <w:pPr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</w:p>
        </w:tc>
      </w:tr>
      <w:tr w:rsidR="00245A67" w:rsidRPr="00AA272B" w:rsidTr="00245A67">
        <w:tc>
          <w:tcPr>
            <w:tcW w:w="6062" w:type="dxa"/>
          </w:tcPr>
          <w:p w:rsidR="00245A67" w:rsidRPr="00AA272B" w:rsidRDefault="00245A67" w:rsidP="00245A67">
            <w:pPr>
              <w:spacing w:before="0" w:beforeAutospacing="0" w:after="0" w:afterAutospacing="0"/>
              <w:rPr>
                <w:bCs/>
                <w:color w:val="000000"/>
              </w:rPr>
            </w:pPr>
          </w:p>
        </w:tc>
        <w:tc>
          <w:tcPr>
            <w:tcW w:w="4536" w:type="dxa"/>
          </w:tcPr>
          <w:p w:rsidR="00245A67" w:rsidRPr="00AA272B" w:rsidRDefault="00245A67" w:rsidP="00245A67">
            <w:pPr>
              <w:shd w:val="clear" w:color="auto" w:fill="FFFFFF"/>
              <w:spacing w:before="0" w:beforeAutospacing="0" w:after="0" w:afterAutospacing="0"/>
              <w:rPr>
                <w:bCs/>
                <w:color w:val="000000"/>
              </w:rPr>
            </w:pPr>
          </w:p>
        </w:tc>
      </w:tr>
    </w:tbl>
    <w:p w:rsidR="00245A67" w:rsidRDefault="00245A67" w:rsidP="00245A67">
      <w:pPr>
        <w:tabs>
          <w:tab w:val="left" w:pos="1134"/>
        </w:tabs>
        <w:spacing w:before="0" w:beforeAutospacing="0" w:after="0" w:afterAutospacing="0"/>
        <w:ind w:firstLine="567"/>
        <w:jc w:val="both"/>
        <w:outlineLvl w:val="0"/>
        <w:rPr>
          <w:kern w:val="36"/>
        </w:rPr>
      </w:pPr>
    </w:p>
    <w:p w:rsidR="00245A67" w:rsidRPr="00EA141D" w:rsidRDefault="00245A67" w:rsidP="00245A67">
      <w:pPr>
        <w:tabs>
          <w:tab w:val="left" w:pos="1134"/>
        </w:tabs>
        <w:spacing w:before="0" w:beforeAutospacing="0" w:after="0" w:afterAutospacing="0"/>
        <w:ind w:firstLine="567"/>
        <w:jc w:val="both"/>
        <w:outlineLvl w:val="0"/>
        <w:rPr>
          <w:kern w:val="36"/>
        </w:rPr>
      </w:pPr>
    </w:p>
    <w:p w:rsidR="00245A67" w:rsidRPr="00EA141D" w:rsidRDefault="00245A67" w:rsidP="00245A67">
      <w:pPr>
        <w:tabs>
          <w:tab w:val="left" w:pos="1134"/>
        </w:tabs>
        <w:spacing w:before="0" w:beforeAutospacing="0" w:after="0" w:afterAutospacing="0"/>
        <w:ind w:firstLine="567"/>
        <w:jc w:val="both"/>
        <w:outlineLvl w:val="0"/>
        <w:rPr>
          <w:kern w:val="36"/>
        </w:rPr>
      </w:pPr>
    </w:p>
    <w:p w:rsidR="00245A67" w:rsidRDefault="00245A67" w:rsidP="00245A67">
      <w:pPr>
        <w:tabs>
          <w:tab w:val="left" w:pos="1134"/>
        </w:tabs>
        <w:spacing w:before="0" w:beforeAutospacing="0" w:after="0" w:afterAutospacing="0"/>
        <w:ind w:firstLine="567"/>
        <w:jc w:val="both"/>
        <w:outlineLvl w:val="0"/>
        <w:rPr>
          <w:kern w:val="36"/>
        </w:rPr>
      </w:pPr>
    </w:p>
    <w:p w:rsidR="00245A67" w:rsidRPr="00EA141D" w:rsidRDefault="00245A67" w:rsidP="00245A67">
      <w:pPr>
        <w:tabs>
          <w:tab w:val="left" w:pos="1134"/>
        </w:tabs>
        <w:spacing w:before="0" w:beforeAutospacing="0" w:after="0" w:afterAutospacing="0"/>
        <w:ind w:firstLine="567"/>
        <w:jc w:val="both"/>
        <w:outlineLvl w:val="0"/>
        <w:rPr>
          <w:kern w:val="36"/>
        </w:rPr>
      </w:pPr>
    </w:p>
    <w:p w:rsidR="00245A67" w:rsidRPr="00EA141D" w:rsidRDefault="00245A67" w:rsidP="00245A67">
      <w:pPr>
        <w:tabs>
          <w:tab w:val="left" w:pos="1134"/>
        </w:tabs>
        <w:spacing w:before="0" w:beforeAutospacing="0" w:after="0" w:afterAutospacing="0"/>
        <w:ind w:firstLine="567"/>
        <w:jc w:val="both"/>
        <w:outlineLvl w:val="0"/>
        <w:rPr>
          <w:kern w:val="36"/>
        </w:rPr>
      </w:pPr>
    </w:p>
    <w:p w:rsidR="00245A67" w:rsidRDefault="00245A67" w:rsidP="00245A67">
      <w:pPr>
        <w:tabs>
          <w:tab w:val="left" w:pos="1134"/>
        </w:tabs>
        <w:spacing w:before="0" w:beforeAutospacing="0" w:after="0" w:afterAutospacing="0"/>
        <w:ind w:firstLine="567"/>
        <w:jc w:val="center"/>
        <w:outlineLvl w:val="0"/>
        <w:rPr>
          <w:b/>
          <w:kern w:val="36"/>
          <w:sz w:val="32"/>
          <w:szCs w:val="32"/>
        </w:rPr>
      </w:pPr>
    </w:p>
    <w:p w:rsidR="00245A67" w:rsidRDefault="00245A67" w:rsidP="00245A67">
      <w:pPr>
        <w:tabs>
          <w:tab w:val="left" w:pos="1134"/>
        </w:tabs>
        <w:spacing w:before="0" w:beforeAutospacing="0" w:after="0" w:afterAutospacing="0"/>
        <w:ind w:firstLine="567"/>
        <w:jc w:val="center"/>
        <w:outlineLvl w:val="0"/>
        <w:rPr>
          <w:b/>
          <w:kern w:val="36"/>
          <w:sz w:val="32"/>
          <w:szCs w:val="32"/>
        </w:rPr>
      </w:pPr>
    </w:p>
    <w:p w:rsidR="00245A67" w:rsidRPr="00AD12BD" w:rsidRDefault="00245A67" w:rsidP="00245A67">
      <w:pPr>
        <w:tabs>
          <w:tab w:val="left" w:pos="1134"/>
        </w:tabs>
        <w:spacing w:before="0" w:beforeAutospacing="0" w:after="0" w:afterAutospacing="0"/>
        <w:ind w:firstLine="567"/>
        <w:jc w:val="center"/>
        <w:outlineLvl w:val="0"/>
        <w:rPr>
          <w:b/>
          <w:kern w:val="36"/>
          <w:sz w:val="32"/>
          <w:szCs w:val="32"/>
        </w:rPr>
      </w:pPr>
      <w:r>
        <w:rPr>
          <w:b/>
          <w:kern w:val="36"/>
          <w:sz w:val="32"/>
          <w:szCs w:val="32"/>
        </w:rPr>
        <w:t xml:space="preserve">ПОЛОЖЕНИЕ </w:t>
      </w:r>
    </w:p>
    <w:p w:rsidR="00245A67" w:rsidRPr="00245A67" w:rsidRDefault="00245A67" w:rsidP="00245A67">
      <w:pPr>
        <w:tabs>
          <w:tab w:val="left" w:pos="1134"/>
        </w:tabs>
        <w:spacing w:before="0" w:beforeAutospacing="0" w:after="0" w:afterAutospacing="0"/>
        <w:ind w:firstLine="567"/>
        <w:jc w:val="center"/>
        <w:outlineLvl w:val="0"/>
        <w:rPr>
          <w:b/>
          <w:kern w:val="36"/>
          <w:sz w:val="32"/>
          <w:szCs w:val="32"/>
          <w:lang w:val="ru-RU"/>
        </w:rPr>
      </w:pPr>
      <w:r>
        <w:rPr>
          <w:b/>
          <w:kern w:val="36"/>
          <w:sz w:val="32"/>
          <w:szCs w:val="32"/>
          <w:lang w:val="ru-RU"/>
        </w:rPr>
        <w:t>О ПРОВЕДЕНИИ СПЕЦИАЛЬНОЙ ОЦЕНКИ УСЛОВИЙ ТРУДА</w:t>
      </w:r>
    </w:p>
    <w:p w:rsidR="00245A67" w:rsidRPr="00245A67" w:rsidRDefault="00245A67" w:rsidP="00245A67">
      <w:pPr>
        <w:tabs>
          <w:tab w:val="left" w:pos="1134"/>
        </w:tabs>
        <w:spacing w:before="0" w:beforeAutospacing="0" w:after="0" w:afterAutospacing="0"/>
        <w:ind w:firstLine="567"/>
        <w:jc w:val="center"/>
        <w:outlineLvl w:val="0"/>
        <w:rPr>
          <w:b/>
          <w:kern w:val="36"/>
          <w:sz w:val="48"/>
          <w:lang w:val="ru-RU"/>
        </w:rPr>
      </w:pPr>
    </w:p>
    <w:p w:rsidR="00245A67" w:rsidRPr="00245A67" w:rsidRDefault="00245A67" w:rsidP="00245A67">
      <w:pPr>
        <w:tabs>
          <w:tab w:val="left" w:pos="1134"/>
        </w:tabs>
        <w:spacing w:before="0" w:beforeAutospacing="0" w:after="0" w:afterAutospacing="0"/>
        <w:ind w:firstLine="567"/>
        <w:jc w:val="center"/>
        <w:outlineLvl w:val="0"/>
        <w:rPr>
          <w:b/>
          <w:kern w:val="36"/>
          <w:sz w:val="48"/>
          <w:lang w:val="ru-RU"/>
        </w:rPr>
      </w:pPr>
    </w:p>
    <w:p w:rsidR="00245A67" w:rsidRPr="00245A67" w:rsidRDefault="00245A67" w:rsidP="00245A67">
      <w:pPr>
        <w:tabs>
          <w:tab w:val="left" w:pos="1134"/>
        </w:tabs>
        <w:spacing w:before="0" w:beforeAutospacing="0" w:after="0" w:afterAutospacing="0"/>
        <w:ind w:firstLine="567"/>
        <w:jc w:val="center"/>
        <w:outlineLvl w:val="0"/>
        <w:rPr>
          <w:b/>
          <w:kern w:val="36"/>
          <w:sz w:val="48"/>
          <w:lang w:val="ru-RU"/>
        </w:rPr>
      </w:pPr>
    </w:p>
    <w:p w:rsidR="00245A67" w:rsidRPr="00245A67" w:rsidRDefault="00245A67" w:rsidP="00245A67">
      <w:pPr>
        <w:tabs>
          <w:tab w:val="left" w:pos="1134"/>
        </w:tabs>
        <w:spacing w:before="0" w:beforeAutospacing="0" w:after="0" w:afterAutospacing="0"/>
        <w:ind w:firstLine="567"/>
        <w:jc w:val="center"/>
        <w:outlineLvl w:val="0"/>
        <w:rPr>
          <w:kern w:val="36"/>
          <w:lang w:val="ru-RU"/>
        </w:rPr>
      </w:pPr>
      <w:r w:rsidRPr="00245A67">
        <w:rPr>
          <w:kern w:val="36"/>
          <w:lang w:val="ru-RU"/>
        </w:rPr>
        <w:t xml:space="preserve">                                        Принято на Совете техникума            </w:t>
      </w:r>
    </w:p>
    <w:p w:rsidR="00245A67" w:rsidRPr="00245A67" w:rsidRDefault="00245A67" w:rsidP="00245A67">
      <w:pPr>
        <w:tabs>
          <w:tab w:val="left" w:pos="1134"/>
        </w:tabs>
        <w:spacing w:before="0" w:beforeAutospacing="0" w:after="0" w:afterAutospacing="0"/>
        <w:ind w:firstLine="567"/>
        <w:jc w:val="center"/>
        <w:outlineLvl w:val="0"/>
        <w:rPr>
          <w:kern w:val="36"/>
          <w:lang w:val="ru-RU"/>
        </w:rPr>
      </w:pPr>
      <w:r w:rsidRPr="00245A67">
        <w:rPr>
          <w:kern w:val="36"/>
          <w:lang w:val="ru-RU"/>
        </w:rPr>
        <w:t xml:space="preserve">                                                                  Протокол № ___от «___»___________202</w:t>
      </w:r>
      <w:r>
        <w:rPr>
          <w:kern w:val="36"/>
          <w:lang w:val="ru-RU"/>
        </w:rPr>
        <w:t>6</w:t>
      </w:r>
      <w:r w:rsidRPr="00245A67">
        <w:rPr>
          <w:kern w:val="36"/>
          <w:lang w:val="ru-RU"/>
        </w:rPr>
        <w:t>г.</w:t>
      </w:r>
    </w:p>
    <w:p w:rsidR="00245A67" w:rsidRPr="00245A67" w:rsidRDefault="00245A67" w:rsidP="00245A67">
      <w:pPr>
        <w:tabs>
          <w:tab w:val="left" w:pos="1134"/>
        </w:tabs>
        <w:spacing w:before="0" w:beforeAutospacing="0" w:after="0" w:afterAutospacing="0"/>
        <w:ind w:firstLine="567"/>
        <w:jc w:val="both"/>
        <w:outlineLvl w:val="1"/>
        <w:rPr>
          <w:b/>
          <w:sz w:val="48"/>
          <w:lang w:val="ru-RU"/>
        </w:rPr>
      </w:pPr>
    </w:p>
    <w:p w:rsidR="00245A67" w:rsidRPr="00245A67" w:rsidRDefault="00245A67" w:rsidP="00245A67">
      <w:pPr>
        <w:tabs>
          <w:tab w:val="left" w:pos="1134"/>
        </w:tabs>
        <w:spacing w:before="0" w:beforeAutospacing="0" w:after="0" w:afterAutospacing="0"/>
        <w:ind w:firstLine="567"/>
        <w:jc w:val="both"/>
        <w:outlineLvl w:val="1"/>
        <w:rPr>
          <w:lang w:val="ru-RU"/>
        </w:rPr>
      </w:pPr>
    </w:p>
    <w:p w:rsidR="00245A67" w:rsidRPr="00245A67" w:rsidRDefault="00245A67" w:rsidP="00245A67">
      <w:pPr>
        <w:tabs>
          <w:tab w:val="left" w:pos="1134"/>
        </w:tabs>
        <w:spacing w:before="0" w:beforeAutospacing="0" w:after="0" w:afterAutospacing="0"/>
        <w:ind w:firstLine="567"/>
        <w:jc w:val="both"/>
        <w:outlineLvl w:val="1"/>
        <w:rPr>
          <w:lang w:val="ru-RU"/>
        </w:rPr>
      </w:pPr>
    </w:p>
    <w:p w:rsidR="00245A67" w:rsidRPr="00245A67" w:rsidRDefault="00245A67" w:rsidP="00245A67">
      <w:pPr>
        <w:tabs>
          <w:tab w:val="left" w:pos="1134"/>
        </w:tabs>
        <w:spacing w:before="0" w:beforeAutospacing="0" w:after="0" w:afterAutospacing="0"/>
        <w:ind w:firstLine="567"/>
        <w:jc w:val="both"/>
        <w:outlineLvl w:val="1"/>
        <w:rPr>
          <w:lang w:val="ru-RU"/>
        </w:rPr>
      </w:pPr>
    </w:p>
    <w:p w:rsidR="00245A67" w:rsidRPr="00245A67" w:rsidRDefault="00245A67" w:rsidP="00245A67">
      <w:pPr>
        <w:tabs>
          <w:tab w:val="left" w:pos="1134"/>
        </w:tabs>
        <w:spacing w:before="0" w:beforeAutospacing="0" w:after="0" w:afterAutospacing="0"/>
        <w:ind w:firstLine="567"/>
        <w:jc w:val="both"/>
        <w:outlineLvl w:val="1"/>
        <w:rPr>
          <w:lang w:val="ru-RU"/>
        </w:rPr>
      </w:pPr>
    </w:p>
    <w:p w:rsidR="00245A67" w:rsidRPr="00245A67" w:rsidRDefault="00245A67" w:rsidP="00245A67">
      <w:pPr>
        <w:tabs>
          <w:tab w:val="left" w:pos="1134"/>
        </w:tabs>
        <w:spacing w:before="0" w:beforeAutospacing="0" w:after="0" w:afterAutospacing="0"/>
        <w:ind w:firstLine="567"/>
        <w:jc w:val="both"/>
        <w:outlineLvl w:val="1"/>
        <w:rPr>
          <w:lang w:val="ru-RU"/>
        </w:rPr>
      </w:pPr>
    </w:p>
    <w:p w:rsidR="00245A67" w:rsidRPr="00245A67" w:rsidRDefault="00245A67" w:rsidP="00245A67">
      <w:pPr>
        <w:tabs>
          <w:tab w:val="left" w:pos="1134"/>
        </w:tabs>
        <w:spacing w:before="0" w:beforeAutospacing="0" w:after="0" w:afterAutospacing="0"/>
        <w:ind w:firstLine="567"/>
        <w:jc w:val="both"/>
        <w:outlineLvl w:val="1"/>
        <w:rPr>
          <w:lang w:val="ru-RU"/>
        </w:rPr>
      </w:pPr>
    </w:p>
    <w:p w:rsidR="00245A67" w:rsidRPr="00245A67" w:rsidRDefault="00245A67" w:rsidP="00245A67">
      <w:pPr>
        <w:tabs>
          <w:tab w:val="left" w:pos="1134"/>
        </w:tabs>
        <w:spacing w:before="0" w:beforeAutospacing="0" w:after="0" w:afterAutospacing="0"/>
        <w:ind w:firstLine="567"/>
        <w:jc w:val="both"/>
        <w:outlineLvl w:val="1"/>
        <w:rPr>
          <w:lang w:val="ru-RU"/>
        </w:rPr>
      </w:pPr>
    </w:p>
    <w:p w:rsidR="00245A67" w:rsidRDefault="00245A67" w:rsidP="00245A67">
      <w:pPr>
        <w:tabs>
          <w:tab w:val="left" w:pos="1134"/>
        </w:tabs>
        <w:spacing w:before="0" w:beforeAutospacing="0" w:after="0" w:afterAutospacing="0"/>
        <w:ind w:firstLine="567"/>
        <w:jc w:val="both"/>
        <w:outlineLvl w:val="1"/>
        <w:rPr>
          <w:lang w:val="ru-RU"/>
        </w:rPr>
      </w:pPr>
    </w:p>
    <w:p w:rsidR="00245A67" w:rsidRDefault="00245A67" w:rsidP="00245A67">
      <w:pPr>
        <w:tabs>
          <w:tab w:val="left" w:pos="1134"/>
        </w:tabs>
        <w:spacing w:before="0" w:beforeAutospacing="0" w:after="0" w:afterAutospacing="0"/>
        <w:ind w:firstLine="567"/>
        <w:jc w:val="both"/>
        <w:outlineLvl w:val="1"/>
        <w:rPr>
          <w:lang w:val="ru-RU"/>
        </w:rPr>
      </w:pPr>
    </w:p>
    <w:p w:rsidR="00245A67" w:rsidRDefault="00245A67" w:rsidP="00245A67">
      <w:pPr>
        <w:tabs>
          <w:tab w:val="left" w:pos="1134"/>
        </w:tabs>
        <w:spacing w:before="0" w:beforeAutospacing="0" w:after="0" w:afterAutospacing="0"/>
        <w:ind w:firstLine="567"/>
        <w:jc w:val="both"/>
        <w:outlineLvl w:val="1"/>
        <w:rPr>
          <w:lang w:val="ru-RU"/>
        </w:rPr>
      </w:pPr>
    </w:p>
    <w:p w:rsidR="00245A67" w:rsidRDefault="00245A67" w:rsidP="00245A67">
      <w:pPr>
        <w:tabs>
          <w:tab w:val="left" w:pos="1134"/>
        </w:tabs>
        <w:spacing w:before="0" w:beforeAutospacing="0" w:after="0" w:afterAutospacing="0"/>
        <w:ind w:firstLine="567"/>
        <w:jc w:val="both"/>
        <w:outlineLvl w:val="1"/>
        <w:rPr>
          <w:lang w:val="ru-RU"/>
        </w:rPr>
      </w:pPr>
    </w:p>
    <w:p w:rsidR="00245A67" w:rsidRDefault="00245A67" w:rsidP="00245A67">
      <w:pPr>
        <w:tabs>
          <w:tab w:val="left" w:pos="1134"/>
        </w:tabs>
        <w:spacing w:before="0" w:beforeAutospacing="0" w:after="0" w:afterAutospacing="0"/>
        <w:ind w:firstLine="567"/>
        <w:jc w:val="both"/>
        <w:outlineLvl w:val="1"/>
        <w:rPr>
          <w:lang w:val="ru-RU"/>
        </w:rPr>
      </w:pPr>
    </w:p>
    <w:p w:rsidR="00245A67" w:rsidRDefault="00245A67" w:rsidP="00245A67">
      <w:pPr>
        <w:tabs>
          <w:tab w:val="left" w:pos="1134"/>
        </w:tabs>
        <w:spacing w:before="0" w:beforeAutospacing="0" w:after="0" w:afterAutospacing="0"/>
        <w:ind w:firstLine="567"/>
        <w:jc w:val="both"/>
        <w:outlineLvl w:val="1"/>
        <w:rPr>
          <w:lang w:val="ru-RU"/>
        </w:rPr>
      </w:pPr>
    </w:p>
    <w:p w:rsidR="00245A67" w:rsidRPr="00245A67" w:rsidRDefault="00245A67" w:rsidP="00245A67">
      <w:pPr>
        <w:tabs>
          <w:tab w:val="left" w:pos="1134"/>
        </w:tabs>
        <w:spacing w:before="0" w:beforeAutospacing="0" w:after="0" w:afterAutospacing="0"/>
        <w:ind w:firstLine="567"/>
        <w:jc w:val="both"/>
        <w:outlineLvl w:val="1"/>
        <w:rPr>
          <w:lang w:val="ru-RU"/>
        </w:rPr>
      </w:pPr>
    </w:p>
    <w:p w:rsidR="00245A67" w:rsidRPr="00245A67" w:rsidRDefault="00245A67" w:rsidP="00245A67">
      <w:pPr>
        <w:tabs>
          <w:tab w:val="left" w:pos="1134"/>
        </w:tabs>
        <w:spacing w:before="0" w:beforeAutospacing="0" w:after="0" w:afterAutospacing="0"/>
        <w:ind w:firstLine="567"/>
        <w:jc w:val="both"/>
        <w:outlineLvl w:val="1"/>
        <w:rPr>
          <w:lang w:val="ru-RU"/>
        </w:rPr>
      </w:pPr>
    </w:p>
    <w:p w:rsidR="00245A67" w:rsidRPr="00245A67" w:rsidRDefault="00245A67" w:rsidP="00245A67">
      <w:pPr>
        <w:tabs>
          <w:tab w:val="left" w:pos="1134"/>
        </w:tabs>
        <w:spacing w:before="0" w:beforeAutospacing="0" w:after="0" w:afterAutospacing="0"/>
        <w:ind w:firstLine="567"/>
        <w:jc w:val="both"/>
        <w:outlineLvl w:val="1"/>
        <w:rPr>
          <w:lang w:val="ru-RU"/>
        </w:rPr>
      </w:pPr>
    </w:p>
    <w:p w:rsidR="00245A67" w:rsidRPr="00971D91" w:rsidRDefault="00245A67" w:rsidP="00245A67">
      <w:pPr>
        <w:tabs>
          <w:tab w:val="left" w:pos="1134"/>
        </w:tabs>
        <w:spacing w:before="0" w:beforeAutospacing="0" w:after="0" w:afterAutospacing="0"/>
        <w:ind w:firstLine="567"/>
        <w:jc w:val="center"/>
        <w:outlineLvl w:val="1"/>
        <w:rPr>
          <w:lang w:val="ru-RU"/>
        </w:rPr>
      </w:pPr>
      <w:r w:rsidRPr="00971D91">
        <w:rPr>
          <w:lang w:val="ru-RU"/>
        </w:rPr>
        <w:t>Алапаевск, 202</w:t>
      </w:r>
      <w:r>
        <w:rPr>
          <w:lang w:val="ru-RU"/>
        </w:rPr>
        <w:t>6</w:t>
      </w:r>
      <w:r w:rsidRPr="00971D91">
        <w:rPr>
          <w:lang w:val="ru-RU"/>
        </w:rPr>
        <w:t>г.</w:t>
      </w:r>
    </w:p>
    <w:p w:rsidR="0019387C" w:rsidRDefault="0019387C" w:rsidP="00245A67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9387C" w:rsidRDefault="0019387C" w:rsidP="00245A67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9387C" w:rsidRDefault="0019387C" w:rsidP="00245A67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9387C" w:rsidRDefault="0019387C" w:rsidP="00245A67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9387C" w:rsidRDefault="0019387C" w:rsidP="00245A67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9387C" w:rsidRDefault="0019387C" w:rsidP="00245A67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9387C" w:rsidRDefault="0019387C" w:rsidP="00245A67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9387C" w:rsidRDefault="0019387C" w:rsidP="00245A67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9387C" w:rsidRDefault="0019387C" w:rsidP="0002192E">
      <w:p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9387C" w:rsidRDefault="0019387C" w:rsidP="0002192E">
      <w:p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9387C" w:rsidRDefault="0019387C" w:rsidP="0002192E">
      <w:p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9387C" w:rsidRDefault="0019387C" w:rsidP="0002192E">
      <w:p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9387C" w:rsidRDefault="0019387C" w:rsidP="0002192E">
      <w:p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9387C" w:rsidRDefault="0019387C" w:rsidP="0002192E">
      <w:p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9387C" w:rsidRDefault="0019387C" w:rsidP="0002192E">
      <w:p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9387C" w:rsidRDefault="0019387C" w:rsidP="0002192E">
      <w:p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9387C" w:rsidRDefault="0019387C" w:rsidP="0002192E">
      <w:p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9387C" w:rsidRDefault="0019387C" w:rsidP="0002192E">
      <w:p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9387C" w:rsidRDefault="0019387C" w:rsidP="0002192E">
      <w:p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9387C" w:rsidRDefault="0019387C" w:rsidP="0002192E">
      <w:p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9387C" w:rsidRDefault="0019387C" w:rsidP="0002192E">
      <w:p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9387C" w:rsidRDefault="0019387C" w:rsidP="0002192E">
      <w:p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9387C" w:rsidRDefault="0019387C" w:rsidP="0002192E">
      <w:p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9387C" w:rsidRDefault="0019387C" w:rsidP="0002192E">
      <w:p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9387C" w:rsidRDefault="0019387C" w:rsidP="0002192E">
      <w:p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9387C" w:rsidRDefault="0019387C" w:rsidP="0002192E">
      <w:p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9387C" w:rsidRDefault="0019387C" w:rsidP="0002192E">
      <w:p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9387C" w:rsidRDefault="0019387C" w:rsidP="0002192E">
      <w:p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9387C" w:rsidRDefault="0019387C" w:rsidP="0002192E">
      <w:p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9387C" w:rsidRDefault="0019387C" w:rsidP="0002192E">
      <w:p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9387C" w:rsidRDefault="0019387C" w:rsidP="0002192E">
      <w:p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9387C" w:rsidRDefault="0019387C" w:rsidP="0002192E">
      <w:p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9387C" w:rsidRDefault="0019387C" w:rsidP="0002192E">
      <w:p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9387C" w:rsidRDefault="0019387C" w:rsidP="0002192E">
      <w:p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9387C" w:rsidRDefault="0019387C" w:rsidP="0002192E">
      <w:p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9387C" w:rsidRDefault="0019387C" w:rsidP="0002192E">
      <w:p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9387C" w:rsidRDefault="0019387C" w:rsidP="0002192E">
      <w:p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9387C" w:rsidRDefault="0019387C" w:rsidP="0002192E">
      <w:p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71C0D" w:rsidRPr="0002192E" w:rsidRDefault="00245A67" w:rsidP="00245A67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192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1. Общие положения</w:t>
      </w:r>
    </w:p>
    <w:p w:rsidR="00C71C0D" w:rsidRPr="0002192E" w:rsidRDefault="00245A67" w:rsidP="00245A67">
      <w:pPr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1.1. Настоящее положение разработано в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со статьей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214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ТК, Федеральным законом от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28.12.2013 №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426-ФЗ «О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специальной оценке условий труда» (далее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Федеральный закон №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426-ФЗ), Методикой проведения специальной оценки условий труда, утвержденной приказом Минтруда от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21.11.2023 №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817н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(далее –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Методика) и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устанавливает порядок проведения специальной оценки условий труда и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обязательные требования к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процедурам, которые реализуются в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рамках проведения специальной оценки условий труда.</w:t>
      </w:r>
    </w:p>
    <w:p w:rsidR="00C71C0D" w:rsidRPr="0002192E" w:rsidRDefault="00245A67" w:rsidP="00245A67">
      <w:pPr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1.2. Настоящее положение является локальным нормативным актом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ГАПОУ СО «АМТ» 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обязательно к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исполнению всеми работниками организации.</w:t>
      </w:r>
    </w:p>
    <w:p w:rsidR="00C71C0D" w:rsidRPr="0002192E" w:rsidRDefault="00245A67" w:rsidP="00245A67">
      <w:pPr>
        <w:spacing w:before="0" w:beforeAutospacing="0" w:after="0" w:afterAutospacing="0" w:line="36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192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2. Порядок подготовки к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проведению специальной оценки условий труда</w:t>
      </w:r>
    </w:p>
    <w:p w:rsidR="00C71C0D" w:rsidRPr="0002192E" w:rsidRDefault="00245A67" w:rsidP="00245A67">
      <w:pPr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 Специальная оценка условий труда проводится совместно членами комиссии по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проведению специальной оценки условий труда и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специализированной организацией.</w:t>
      </w:r>
    </w:p>
    <w:p w:rsidR="00C71C0D" w:rsidRPr="0002192E" w:rsidRDefault="00245A67" w:rsidP="00245A67">
      <w:pPr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осуществлении отбора и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заключения гражданско-правового договора со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специализированной организацией, проводящей специальную оценку условий труда,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техникум 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организует проверку специализированной организации на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соответствие следующим требованиям:</w:t>
      </w:r>
    </w:p>
    <w:p w:rsidR="00C71C0D" w:rsidRPr="0002192E" w:rsidRDefault="00245A67" w:rsidP="00971D91">
      <w:pPr>
        <w:numPr>
          <w:ilvl w:val="0"/>
          <w:numId w:val="17"/>
        </w:numPr>
        <w:tabs>
          <w:tab w:val="clear" w:pos="720"/>
          <w:tab w:val="num" w:pos="851"/>
        </w:tabs>
        <w:spacing w:before="0" w:beforeAutospacing="0" w:after="0" w:afterAutospacing="0" w:line="36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указание в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уставных документах организации в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качестве основного вида деятельности или одного из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видов ее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деятельности «проведение специальной оценки условий труда»;</w:t>
      </w:r>
    </w:p>
    <w:p w:rsidR="00C71C0D" w:rsidRPr="0002192E" w:rsidRDefault="00245A67" w:rsidP="00971D91">
      <w:pPr>
        <w:numPr>
          <w:ilvl w:val="0"/>
          <w:numId w:val="17"/>
        </w:numPr>
        <w:tabs>
          <w:tab w:val="clear" w:pos="720"/>
          <w:tab w:val="num" w:pos="851"/>
        </w:tabs>
        <w:spacing w:before="0" w:beforeAutospacing="0" w:after="0" w:afterAutospacing="0" w:line="36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наличие в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организации не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менее пяти экспертов, работающих по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трудовому договору и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имеющих сертификат эксперта на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 выполнения </w:t>
      </w:r>
      <w:r w:rsidR="00772B21"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работ, по специальной оценке,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условий труда, в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 числе не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менее одного эксперта, имеющего высшее образование по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одной из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специальностей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«общая гигиена», «гигиена труда», «санитарно-гигиенические лабораторные исследования»;</w:t>
      </w:r>
    </w:p>
    <w:p w:rsidR="00C71C0D" w:rsidRPr="0002192E" w:rsidRDefault="00245A67" w:rsidP="00971D91">
      <w:pPr>
        <w:numPr>
          <w:ilvl w:val="0"/>
          <w:numId w:val="17"/>
        </w:numPr>
        <w:tabs>
          <w:tab w:val="clear" w:pos="720"/>
          <w:tab w:val="num" w:pos="851"/>
        </w:tabs>
        <w:spacing w:before="0" w:beforeAutospacing="0" w:after="0" w:afterAutospacing="0" w:line="360" w:lineRule="auto"/>
        <w:ind w:left="0" w:right="18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наличие в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качестве структурного подразделения испытательной лаборатории (центра), которая аккредитована национальным органом по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аккредитации в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РФ об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аккредитации в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национальной системе аккредитации и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областью аккредитации которой является проведение исследований (испытаний) и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измерений вредных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и (или) опасных факторов производственной среды и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трудового процесса.</w:t>
      </w:r>
    </w:p>
    <w:p w:rsidR="00C71C0D" w:rsidRPr="0002192E" w:rsidRDefault="00245A67" w:rsidP="00245A67">
      <w:pPr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 Для организации и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проведения специальной оценки условий труда </w:t>
      </w:r>
      <w:r w:rsidR="00772B2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ГАПОУ СО «АМТ»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приказом о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проведении специальной оценки условий труда образуется комиссия по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проведению специальной оценки условий труда (далее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комиссия), число членов которой должно быть нечетным.</w:t>
      </w:r>
    </w:p>
    <w:p w:rsidR="00C71C0D" w:rsidRPr="0002192E" w:rsidRDefault="00245A67" w:rsidP="00245A67">
      <w:pPr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2.3. Члены комиссии до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начала выполнения работ по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проведению специальной оценки условий труда составляют перечень рабочих мест, подлежащих специальной оценке условий труда, который утверждает председатель комиссии по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проведению специальной оценки условий труда.</w:t>
      </w:r>
    </w:p>
    <w:p w:rsidR="00C71C0D" w:rsidRPr="0002192E" w:rsidRDefault="00245A67" w:rsidP="00245A67">
      <w:pPr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2.4. Члены комиссии до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начала выполнения работ по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проведению специальной оценки условий труда совместно с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организацией, проводящей специальную оценку условий труда, составляют график проведения специальной оценки условий труда, который утверждает председатель комиссии по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проведению специальной оценки условий труда.</w:t>
      </w:r>
    </w:p>
    <w:p w:rsidR="00C71C0D" w:rsidRPr="0002192E" w:rsidRDefault="00245A67" w:rsidP="00245A67">
      <w:pPr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2.5. Организация, проводящая специальную оценку условий труда, обязана сообщить работодателю (или уполномоченному лицу) идентификационный номер, присвоенный в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автоматическом режиме Федеральной государственной информационной системой учета результатов проведения специальной оценки условий труда в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порядке, установленном Федеральным законом №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426-ФЗ, до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начала выполнения работ по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проведению специальной оценки условий труда.</w:t>
      </w:r>
    </w:p>
    <w:p w:rsidR="00C71C0D" w:rsidRPr="0002192E" w:rsidRDefault="00245A67" w:rsidP="00772B21">
      <w:pPr>
        <w:spacing w:before="0" w:beforeAutospacing="0" w:after="0" w:afterAutospacing="0" w:line="36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192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3. Сроки проведения специальной оценки условий труда</w:t>
      </w:r>
    </w:p>
    <w:p w:rsidR="00C71C0D" w:rsidRPr="0002192E" w:rsidRDefault="00245A67" w:rsidP="00245A67">
      <w:pPr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 Специальная оценка условий труда на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рабочем месте проводится не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реже чем один раз в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пять лет, если иное не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установлено Федеральным законом №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426-ФЗ. Указанный срок исчисляется со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дня внесения сведений о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результатах проведения специальной оценки условий труда в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Федеральную государственную информационную систему учета результатов проведения специальной оценки условий труда в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порядке, установленном Федеральным законом №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426-ФЗ.</w:t>
      </w:r>
    </w:p>
    <w:p w:rsidR="00C71C0D" w:rsidRPr="0002192E" w:rsidRDefault="00245A67" w:rsidP="00245A67">
      <w:pPr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3.2. Внеплановая специальная оценка условий труда проводится на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соответствующих рабочих местах в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течение 12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месяцев со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дня наступления следующих случаев:</w:t>
      </w:r>
    </w:p>
    <w:p w:rsidR="00C71C0D" w:rsidRPr="0002192E" w:rsidRDefault="00245A67" w:rsidP="00971D91">
      <w:pPr>
        <w:numPr>
          <w:ilvl w:val="0"/>
          <w:numId w:val="18"/>
        </w:numPr>
        <w:tabs>
          <w:tab w:val="clear" w:pos="2629"/>
          <w:tab w:val="left" w:pos="851"/>
          <w:tab w:val="num" w:pos="2269"/>
        </w:tabs>
        <w:spacing w:before="0" w:beforeAutospacing="0" w:after="0" w:afterAutospacing="0" w:line="36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ввод в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эксплуатацию вновь организованных рабочих мест;</w:t>
      </w:r>
    </w:p>
    <w:p w:rsidR="00C71C0D" w:rsidRPr="0002192E" w:rsidRDefault="00245A67" w:rsidP="00971D91">
      <w:pPr>
        <w:numPr>
          <w:ilvl w:val="0"/>
          <w:numId w:val="18"/>
        </w:numPr>
        <w:tabs>
          <w:tab w:val="clear" w:pos="2629"/>
          <w:tab w:val="left" w:pos="851"/>
          <w:tab w:val="num" w:pos="2269"/>
        </w:tabs>
        <w:spacing w:before="0" w:beforeAutospacing="0" w:after="0" w:afterAutospacing="0" w:line="360" w:lineRule="auto"/>
        <w:ind w:left="0" w:right="18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изменение технологического процесса, замена производственного оборудования, которые способны оказать влияние на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уровень воздействия вредных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и (или) опасных производственных факторов на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работников.</w:t>
      </w:r>
    </w:p>
    <w:p w:rsidR="00C71C0D" w:rsidRPr="0002192E" w:rsidRDefault="00245A67" w:rsidP="00245A67">
      <w:pPr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3.3. Внеплановая специальная оценка условий труда проводится на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соответствующих рабочих местах в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течение шести месяцев со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дня наступления следующих случаев:</w:t>
      </w:r>
    </w:p>
    <w:p w:rsidR="00C71C0D" w:rsidRPr="0002192E" w:rsidRDefault="00245A67" w:rsidP="00971D91">
      <w:pPr>
        <w:numPr>
          <w:ilvl w:val="0"/>
          <w:numId w:val="19"/>
        </w:numPr>
        <w:tabs>
          <w:tab w:val="clear" w:pos="720"/>
          <w:tab w:val="num" w:pos="851"/>
        </w:tabs>
        <w:spacing w:before="0" w:beforeAutospacing="0" w:after="0" w:afterAutospacing="0" w:line="36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получение предписания государственного инспектора о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проведении внеплановой специальной оценки условий труда в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связи с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выявленными в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ходе проведения федерального государственного надзора за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соблюдением трудового законодательства и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иных нормативных правовых актов, содержащих нормы трудового права, нарушениями требований Федерального закона №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426-ФЗ или государственных нормативных требований охраны труда, содержащихся в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федеральных законах и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иных нормативных правовых актах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РФ;</w:t>
      </w:r>
    </w:p>
    <w:p w:rsidR="00C71C0D" w:rsidRPr="0002192E" w:rsidRDefault="00245A67" w:rsidP="00971D91">
      <w:pPr>
        <w:numPr>
          <w:ilvl w:val="0"/>
          <w:numId w:val="19"/>
        </w:numPr>
        <w:tabs>
          <w:tab w:val="clear" w:pos="720"/>
          <w:tab w:val="num" w:pos="851"/>
        </w:tabs>
        <w:spacing w:before="0" w:beforeAutospacing="0" w:after="0" w:afterAutospacing="0" w:line="36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изменение состава применяемых материалов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и (или) сырья, способных оказать влияние на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уровень воздействия вредных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и (или) опасных производственных факторов на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работников;</w:t>
      </w:r>
    </w:p>
    <w:p w:rsidR="00C71C0D" w:rsidRPr="0002192E" w:rsidRDefault="00245A67" w:rsidP="00971D91">
      <w:pPr>
        <w:numPr>
          <w:ilvl w:val="0"/>
          <w:numId w:val="19"/>
        </w:numPr>
        <w:tabs>
          <w:tab w:val="clear" w:pos="720"/>
          <w:tab w:val="num" w:pos="851"/>
        </w:tabs>
        <w:spacing w:before="0" w:beforeAutospacing="0" w:after="0" w:afterAutospacing="0" w:line="36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изменение применяемых средств индивидуальной и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коллективной защиты, способное оказать влияние на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уровень воздействия вредных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и (или) опасных производственных факторов на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работников;</w:t>
      </w:r>
    </w:p>
    <w:p w:rsidR="00C71C0D" w:rsidRPr="0002192E" w:rsidRDefault="00245A67" w:rsidP="00971D91">
      <w:pPr>
        <w:numPr>
          <w:ilvl w:val="0"/>
          <w:numId w:val="19"/>
        </w:numPr>
        <w:tabs>
          <w:tab w:val="clear" w:pos="720"/>
          <w:tab w:val="num" w:pos="851"/>
        </w:tabs>
        <w:spacing w:before="0" w:beforeAutospacing="0" w:after="0" w:afterAutospacing="0" w:line="360" w:lineRule="auto"/>
        <w:ind w:left="0" w:right="18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произошедший на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рабочем месте несчастный случай на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производстве (за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исключением несчастного случая на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производстве, произошедшего по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вине третьих лиц) или выявленное профессиональное заболевание, причинами которых явилось воздействие на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работника вредных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и (или) опасных производственных факторов.</w:t>
      </w:r>
    </w:p>
    <w:p w:rsidR="00C71C0D" w:rsidRPr="0002192E" w:rsidRDefault="00245A67" w:rsidP="00245A67">
      <w:pPr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3.4. При изменениях в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штатном расписании (переименование должности, переименование структурного подразделения) приказом </w:t>
      </w:r>
      <w:r w:rsidR="00772B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директора 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создается комиссия для принятия решения о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необходимости проведения (</w:t>
      </w:r>
      <w:r w:rsidR="00971D91"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 проведения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) внеплановой специальной оценки условий труда. После рассмотрения изменений в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штатном расписании и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определения необходимости проведения внеплановой специальной оценки условий труда комиссия представляет </w:t>
      </w:r>
      <w:r w:rsidR="00772B2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директору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письменное решение о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необходимости проведения (</w:t>
      </w:r>
      <w:r w:rsidR="00971D91"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 проведения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) внеплановой специальной оценки условий труда с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обоснованием выводов.</w:t>
      </w:r>
    </w:p>
    <w:p w:rsidR="00C71C0D" w:rsidRPr="0002192E" w:rsidRDefault="00245A67" w:rsidP="00772B21">
      <w:pPr>
        <w:spacing w:before="0" w:beforeAutospacing="0" w:after="0" w:afterAutospacing="0" w:line="36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192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4. Идентификация потенциально вредных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02192E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(или) опасных производственных факторов</w:t>
      </w:r>
    </w:p>
    <w:p w:rsidR="00C71C0D" w:rsidRPr="0002192E" w:rsidRDefault="00245A67" w:rsidP="00245A67">
      <w:pPr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4.1. Идентификация потенциально вредных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и (или) опасных производственных факторов (далее соответственно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вредные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и (или) опасные факторы, идентификация) включает в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себя следующие этапы:</w:t>
      </w:r>
    </w:p>
    <w:p w:rsidR="00C71C0D" w:rsidRPr="0002192E" w:rsidRDefault="00245A67" w:rsidP="00772B21">
      <w:pPr>
        <w:numPr>
          <w:ilvl w:val="0"/>
          <w:numId w:val="11"/>
        </w:numPr>
        <w:tabs>
          <w:tab w:val="clear" w:pos="720"/>
          <w:tab w:val="num" w:pos="851"/>
        </w:tabs>
        <w:spacing w:before="0" w:beforeAutospacing="0" w:after="0" w:afterAutospacing="0" w:line="36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выявление и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имеющихся на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рабочем месте факторов производственной среды и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трудового процесса, источников вредных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и (или) опасных факторов;</w:t>
      </w:r>
    </w:p>
    <w:p w:rsidR="00C71C0D" w:rsidRPr="0002192E" w:rsidRDefault="00245A67" w:rsidP="00772B21">
      <w:pPr>
        <w:numPr>
          <w:ilvl w:val="0"/>
          <w:numId w:val="11"/>
        </w:numPr>
        <w:tabs>
          <w:tab w:val="clear" w:pos="720"/>
          <w:tab w:val="num" w:pos="851"/>
        </w:tabs>
        <w:spacing w:before="0" w:beforeAutospacing="0" w:after="0" w:afterAutospacing="0" w:line="36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сопоставление и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установление совпадения имеющихся на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рабочем месте факторов производственной среды и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772B21"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трудового процесса с</w:t>
      </w:r>
      <w:r w:rsidR="00772B21"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772B21"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факторами производственной среды,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трудового процесса, предусмотренными классификатором вредных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и (или) опасных производственных факторов (далее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классификатор), содержащимся в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приложении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2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настоящему приказу;</w:t>
      </w:r>
    </w:p>
    <w:p w:rsidR="00C71C0D" w:rsidRPr="0002192E" w:rsidRDefault="00245A67" w:rsidP="00772B21">
      <w:pPr>
        <w:numPr>
          <w:ilvl w:val="0"/>
          <w:numId w:val="11"/>
        </w:numPr>
        <w:tabs>
          <w:tab w:val="clear" w:pos="720"/>
          <w:tab w:val="num" w:pos="851"/>
        </w:tabs>
        <w:spacing w:before="0" w:beforeAutospacing="0" w:after="0" w:afterAutospacing="0" w:line="36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принятие решения о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проведении исследований (испытаний) и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измерений вредных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и (или) опасных факторов;</w:t>
      </w:r>
    </w:p>
    <w:p w:rsidR="00C71C0D" w:rsidRPr="0002192E" w:rsidRDefault="00245A67" w:rsidP="00772B21">
      <w:pPr>
        <w:numPr>
          <w:ilvl w:val="0"/>
          <w:numId w:val="11"/>
        </w:numPr>
        <w:tabs>
          <w:tab w:val="clear" w:pos="720"/>
          <w:tab w:val="num" w:pos="851"/>
        </w:tabs>
        <w:spacing w:before="0" w:beforeAutospacing="0" w:after="0" w:afterAutospacing="0" w:line="360" w:lineRule="auto"/>
        <w:ind w:left="0" w:right="18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192E">
        <w:rPr>
          <w:rFonts w:ascii="Times New Roman" w:hAnsi="Times New Roman" w:cs="Times New Roman"/>
          <w:color w:val="000000"/>
          <w:sz w:val="24"/>
          <w:szCs w:val="24"/>
        </w:rPr>
        <w:t>оформле</w:t>
      </w:r>
      <w:bookmarkStart w:id="0" w:name="_GoBack"/>
      <w:bookmarkEnd w:id="0"/>
      <w:r w:rsidRPr="0002192E">
        <w:rPr>
          <w:rFonts w:ascii="Times New Roman" w:hAnsi="Times New Roman" w:cs="Times New Roman"/>
          <w:color w:val="000000"/>
          <w:sz w:val="24"/>
          <w:szCs w:val="24"/>
        </w:rPr>
        <w:t>ние результатов идентификации.</w:t>
      </w:r>
    </w:p>
    <w:p w:rsidR="00C71C0D" w:rsidRPr="0002192E" w:rsidRDefault="00245A67" w:rsidP="00245A67">
      <w:pPr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4.2. Идентификация осуществляется экспертом организации, проводящей специальную оценку условий труда (далее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эксперт). Результаты идентификации оформляются экспертом и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утверждаются комиссией по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проведению специальной оценки условий труда, формируемой в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порядке, установленном Федеральным законом от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28.12.2013 №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426-ФЗ (далее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комиссия).</w:t>
      </w:r>
    </w:p>
    <w:p w:rsidR="00C71C0D" w:rsidRPr="0002192E" w:rsidRDefault="00245A67" w:rsidP="00245A67">
      <w:pPr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4.3. Выявление на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рабочем месте факторов производственной среды и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трудового процесса, источников вредных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и (или) опасных факторов осуществляется путем изучения представляемых работодателем:</w:t>
      </w:r>
    </w:p>
    <w:p w:rsidR="00C71C0D" w:rsidRPr="0002192E" w:rsidRDefault="00245A67" w:rsidP="00772B21">
      <w:pPr>
        <w:numPr>
          <w:ilvl w:val="0"/>
          <w:numId w:val="12"/>
        </w:numPr>
        <w:tabs>
          <w:tab w:val="clear" w:pos="720"/>
          <w:tab w:val="num" w:pos="851"/>
        </w:tabs>
        <w:spacing w:before="0" w:beforeAutospacing="0" w:after="0" w:afterAutospacing="0" w:line="36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технической (эксплуатационной) документации на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производственное оборудование (машины, механизмы, инструменты и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приспособления), используемое работником на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рабочем месте;</w:t>
      </w:r>
    </w:p>
    <w:p w:rsidR="00C71C0D" w:rsidRPr="0002192E" w:rsidRDefault="00245A67" w:rsidP="00772B21">
      <w:pPr>
        <w:numPr>
          <w:ilvl w:val="0"/>
          <w:numId w:val="12"/>
        </w:numPr>
        <w:tabs>
          <w:tab w:val="clear" w:pos="720"/>
          <w:tab w:val="num" w:pos="851"/>
        </w:tabs>
        <w:spacing w:before="0" w:beforeAutospacing="0" w:after="0" w:afterAutospacing="0" w:line="36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технологической документации, характеристик технологического процесса;</w:t>
      </w:r>
    </w:p>
    <w:p w:rsidR="00C71C0D" w:rsidRPr="0002192E" w:rsidRDefault="00245A67" w:rsidP="00772B21">
      <w:pPr>
        <w:numPr>
          <w:ilvl w:val="0"/>
          <w:numId w:val="12"/>
        </w:numPr>
        <w:tabs>
          <w:tab w:val="clear" w:pos="720"/>
          <w:tab w:val="num" w:pos="851"/>
        </w:tabs>
        <w:spacing w:before="0" w:beforeAutospacing="0" w:after="0" w:afterAutospacing="0" w:line="36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должностной инструкции и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иных документов, регламентирующих обязанности работника;</w:t>
      </w:r>
    </w:p>
    <w:p w:rsidR="00C71C0D" w:rsidRPr="0002192E" w:rsidRDefault="00245A67" w:rsidP="00772B21">
      <w:pPr>
        <w:numPr>
          <w:ilvl w:val="0"/>
          <w:numId w:val="12"/>
        </w:numPr>
        <w:tabs>
          <w:tab w:val="clear" w:pos="720"/>
          <w:tab w:val="num" w:pos="851"/>
        </w:tabs>
        <w:spacing w:before="0" w:beforeAutospacing="0" w:after="0" w:afterAutospacing="0" w:line="36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проектов строительства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и (или) реконструкции производственных объектов (зданий, сооружений, производственных помещений), если на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рабочих местах ведутся работы по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строительству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и (или) реконструкции производственных объектов;</w:t>
      </w:r>
    </w:p>
    <w:p w:rsidR="00C71C0D" w:rsidRPr="0002192E" w:rsidRDefault="00245A67" w:rsidP="00772B21">
      <w:pPr>
        <w:numPr>
          <w:ilvl w:val="0"/>
          <w:numId w:val="12"/>
        </w:numPr>
        <w:tabs>
          <w:tab w:val="clear" w:pos="720"/>
          <w:tab w:val="num" w:pos="851"/>
        </w:tabs>
        <w:spacing w:before="0" w:beforeAutospacing="0" w:after="0" w:afterAutospacing="0" w:line="36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характеристик применяемых в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производстве материалов и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сырья (в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 числе установленных по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результатам токсикологической, санитарно-гигиенической и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медико-биологической оценок);</w:t>
      </w:r>
    </w:p>
    <w:p w:rsidR="00C71C0D" w:rsidRPr="0002192E" w:rsidRDefault="00245A67" w:rsidP="00772B21">
      <w:pPr>
        <w:numPr>
          <w:ilvl w:val="0"/>
          <w:numId w:val="12"/>
        </w:numPr>
        <w:tabs>
          <w:tab w:val="clear" w:pos="720"/>
          <w:tab w:val="num" w:pos="851"/>
        </w:tabs>
        <w:spacing w:before="0" w:beforeAutospacing="0" w:after="0" w:afterAutospacing="0" w:line="36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деклараций о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и (или) сертификатов соответствия производственного оборудования, машин, механизмов, инструментов и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приспособлений, технологических процессов, веществ, материалов, сырья установленным требованиям;</w:t>
      </w:r>
    </w:p>
    <w:p w:rsidR="00C71C0D" w:rsidRPr="0002192E" w:rsidRDefault="00724289" w:rsidP="00772B21">
      <w:pPr>
        <w:numPr>
          <w:ilvl w:val="0"/>
          <w:numId w:val="12"/>
        </w:numPr>
        <w:tabs>
          <w:tab w:val="clear" w:pos="720"/>
          <w:tab w:val="num" w:pos="851"/>
        </w:tabs>
        <w:spacing w:before="0" w:beforeAutospacing="0" w:after="0" w:afterAutospacing="0" w:line="36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результатов,</w:t>
      </w:r>
      <w:r w:rsidR="00245A67"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ранее проводившихся на</w:t>
      </w:r>
      <w:r w:rsidR="00245A67"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245A67"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данном рабочем месте исследований (испытаний) и</w:t>
      </w:r>
      <w:r w:rsidR="00245A67"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245A67"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измерений вредных</w:t>
      </w:r>
      <w:r w:rsidR="00245A67"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245A67"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и (или) опасных факторов;</w:t>
      </w:r>
    </w:p>
    <w:p w:rsidR="00C71C0D" w:rsidRPr="0002192E" w:rsidRDefault="00245A67" w:rsidP="00772B21">
      <w:pPr>
        <w:numPr>
          <w:ilvl w:val="0"/>
          <w:numId w:val="12"/>
        </w:numPr>
        <w:tabs>
          <w:tab w:val="clear" w:pos="720"/>
          <w:tab w:val="num" w:pos="851"/>
        </w:tabs>
        <w:spacing w:before="0" w:beforeAutospacing="0" w:after="0" w:afterAutospacing="0" w:line="36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предложений работников по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осуществлению на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их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рабочих местах идентификации потенциально вредных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и (или) опасных производственных факторов (при наличии таких предложений);</w:t>
      </w:r>
    </w:p>
    <w:p w:rsidR="00C71C0D" w:rsidRPr="0002192E" w:rsidRDefault="00245A67" w:rsidP="00772B21">
      <w:pPr>
        <w:numPr>
          <w:ilvl w:val="0"/>
          <w:numId w:val="12"/>
        </w:numPr>
        <w:tabs>
          <w:tab w:val="clear" w:pos="720"/>
          <w:tab w:val="num" w:pos="851"/>
        </w:tabs>
        <w:spacing w:before="0" w:beforeAutospacing="0" w:after="0" w:afterAutospacing="0" w:line="36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результатов, полученных при осуществлении организованного на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рабочих местах производственного контроля за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условиями труда;</w:t>
      </w:r>
    </w:p>
    <w:p w:rsidR="00C71C0D" w:rsidRPr="0002192E" w:rsidRDefault="00245A67" w:rsidP="00772B21">
      <w:pPr>
        <w:numPr>
          <w:ilvl w:val="0"/>
          <w:numId w:val="12"/>
        </w:numPr>
        <w:tabs>
          <w:tab w:val="clear" w:pos="720"/>
          <w:tab w:val="num" w:pos="851"/>
        </w:tabs>
        <w:spacing w:before="0" w:beforeAutospacing="0" w:after="0" w:afterAutospacing="0" w:line="360" w:lineRule="auto"/>
        <w:ind w:left="0" w:right="18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результатов, полученных при осуществлении федерального государственного санитарно-эпидемиологического надзора (акт проверки, предписание, акт о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случае профессионального заболевания).</w:t>
      </w:r>
    </w:p>
    <w:p w:rsidR="00C71C0D" w:rsidRPr="0002192E" w:rsidRDefault="00245A67" w:rsidP="00245A67">
      <w:pPr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Указанные в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настоящем пункте документация и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материалы представляются работодателем при их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наличии.</w:t>
      </w:r>
    </w:p>
    <w:p w:rsidR="00C71C0D" w:rsidRPr="0002192E" w:rsidRDefault="00245A67" w:rsidP="00245A67">
      <w:pPr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4.4. Сопоставление и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установление совпадения имеющихся на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рабочем месте факторов производственной среды и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724289"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трудового процесса с</w:t>
      </w:r>
      <w:r w:rsidR="00724289"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724289"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факторами производственной среды,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трудового процесса, предусмотренными классификатором, производится путем сравнения их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наименований с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учетом следующего:</w:t>
      </w:r>
    </w:p>
    <w:p w:rsidR="00C71C0D" w:rsidRPr="0002192E" w:rsidRDefault="00245A67" w:rsidP="00245A67">
      <w:pPr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а) параметры микроклимата идентифицируются как вредные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и (или) опасные факторы на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рабочих местах, расположенных в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закрытых производственных помещениях (рабочих зонах), на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которых имеется производственное оборудование, являющееся искусственным источником 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тепла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и (или) холода (за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исключением климатического оборудования, не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используемого в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технологическом процессе и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предназначенного для создания комфортных условий труда);</w:t>
      </w:r>
    </w:p>
    <w:p w:rsidR="00C71C0D" w:rsidRPr="0002192E" w:rsidRDefault="00245A67" w:rsidP="00245A67">
      <w:pPr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б) аэрозоли преимущественно фиброгенного действия (АПФД) идентифицируются как вредные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и (или) опасные факторы только на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рабочих местах, на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которых осуществляется добыча, обогащение, производство и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в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технологическом процессе пылящих веществ, относящихся к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АПФД, а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 эксплуатируется оборудование, работа на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котором сопровождается выделением АПФД (пыли, содержащие природные и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искусственные минеральные волокна, угольная пыль);</w:t>
      </w:r>
    </w:p>
    <w:p w:rsidR="00C71C0D" w:rsidRPr="0002192E" w:rsidRDefault="00245A67" w:rsidP="00245A67">
      <w:pPr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в) виброакустические факторы идентифицируются как вредные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и (или) опасные факторы только на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рабочих местах, на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которых имеется производственное оборудование, являющееся источником указанных виброакустических факторов;</w:t>
      </w:r>
    </w:p>
    <w:p w:rsidR="00C71C0D" w:rsidRPr="0002192E" w:rsidRDefault="00245A67" w:rsidP="00245A67">
      <w:pPr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г) параметры световой среды идентифицируются как вредные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и (или) опасные факторы только при выполнении прецизионных работ с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величиной объектов различения менее 0,5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мм (кроме работ, допускающих масштабирование объектов различения), при наличии слепящих источников света, при проведении работ с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объектами различения и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рабочими поверхностями, обладающими направленно-рассеянным и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смешанным отражением, при осуществлении подземных работ, в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 числе работ по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эксплуатации метрополитена;</w:t>
      </w:r>
    </w:p>
    <w:p w:rsidR="00C71C0D" w:rsidRPr="0002192E" w:rsidRDefault="00245A67" w:rsidP="00245A67">
      <w:pPr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д) неионизирующие излучения идентифицируются как вредные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и (или) опасные факторы только при наличии на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рабочем месте производственного (технологического) оборудования, являющегося источником неионизирующих излучений, за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исключением рабочих мест, на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которых работники заняты только на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персональных электронно-вычислительных машинах (персональных компьютерах) и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(или) эксплуатируют аппараты копировально-множительной техники настольного типа, единичные стационарные копировально-множительные аппараты, используемые периодически для нужд самой организации, иную офисную организационную технику, а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 бытовую технику, не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используемую в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технологическом процессе производства;</w:t>
      </w:r>
    </w:p>
    <w:p w:rsidR="00C71C0D" w:rsidRPr="0002192E" w:rsidRDefault="00245A67" w:rsidP="00245A67">
      <w:pPr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е) ионизирующие излучения идентифицируются как вредные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и (или) опасные факторы только на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рабочих местах, на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которых осуществляются добыча, обогащение, производство и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в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технологическом процессе радиоактивных веществ и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изотопов, а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 при эксплуатации производственного оборудования, создающего ионизирующее излучение;</w:t>
      </w:r>
    </w:p>
    <w:p w:rsidR="00C71C0D" w:rsidRPr="0002192E" w:rsidRDefault="00245A67" w:rsidP="00245A67">
      <w:pPr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ж) химический фактор идентифицируется как вредный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и (или) опасный фактор только на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рабочих местах при добыче, обогащении, химическом синтезе, использовании в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технологическом процессе и/или химическом анализе химических веществ и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смесей, выделении химических веществ в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ходе технологического процесса, а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 при производстве веществ биологической природы;</w:t>
      </w:r>
    </w:p>
    <w:p w:rsidR="00C71C0D" w:rsidRPr="0002192E" w:rsidRDefault="00245A67" w:rsidP="00245A67">
      <w:pPr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з) биологический фактор идентифицируется как вредный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и (или) опасный фактор только на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рабочих местах:</w:t>
      </w:r>
    </w:p>
    <w:p w:rsidR="00C71C0D" w:rsidRPr="0002192E" w:rsidRDefault="00245A67" w:rsidP="00724289">
      <w:pPr>
        <w:numPr>
          <w:ilvl w:val="0"/>
          <w:numId w:val="13"/>
        </w:numPr>
        <w:tabs>
          <w:tab w:val="clear" w:pos="720"/>
          <w:tab w:val="num" w:pos="851"/>
          <w:tab w:val="left" w:pos="993"/>
        </w:tabs>
        <w:spacing w:before="0" w:beforeAutospacing="0" w:after="0" w:afterAutospacing="0" w:line="36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организаций, осуществляющих деятельность в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области использования возбудителей инфекционных заболеваний человека и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животных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и (или) в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замкнутых системах генно-инженерно-модифицированных организмов 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III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IV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степеней потенциальной опасности при наличии соответствующих разрешительных документов (лицензии) на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 осуществления такой деятельности;</w:t>
      </w:r>
    </w:p>
    <w:p w:rsidR="00C71C0D" w:rsidRPr="0002192E" w:rsidRDefault="00245A67" w:rsidP="00724289">
      <w:pPr>
        <w:numPr>
          <w:ilvl w:val="0"/>
          <w:numId w:val="13"/>
        </w:numPr>
        <w:tabs>
          <w:tab w:val="clear" w:pos="720"/>
          <w:tab w:val="num" w:pos="851"/>
          <w:tab w:val="left" w:pos="993"/>
        </w:tabs>
        <w:spacing w:before="0" w:beforeAutospacing="0" w:after="0" w:afterAutospacing="0" w:line="36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организаций, осуществляющих деятельность в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области использования в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замкнутых системах генно-инженерно-модифицированных организмов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II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степени потенциальной опасности;</w:t>
      </w:r>
    </w:p>
    <w:p w:rsidR="00C71C0D" w:rsidRPr="0002192E" w:rsidRDefault="00245A67" w:rsidP="00724289">
      <w:pPr>
        <w:numPr>
          <w:ilvl w:val="0"/>
          <w:numId w:val="13"/>
        </w:numPr>
        <w:tabs>
          <w:tab w:val="clear" w:pos="720"/>
          <w:tab w:val="num" w:pos="851"/>
          <w:tab w:val="left" w:pos="993"/>
        </w:tabs>
        <w:spacing w:before="0" w:beforeAutospacing="0" w:after="0" w:afterAutospacing="0" w:line="36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медицинских и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иных работников, непосредственно осуществляющих медицинскую деятельность;</w:t>
      </w:r>
    </w:p>
    <w:p w:rsidR="00C71C0D" w:rsidRPr="0002192E" w:rsidRDefault="00245A67" w:rsidP="00724289">
      <w:pPr>
        <w:numPr>
          <w:ilvl w:val="0"/>
          <w:numId w:val="13"/>
        </w:numPr>
        <w:tabs>
          <w:tab w:val="clear" w:pos="720"/>
          <w:tab w:val="num" w:pos="851"/>
          <w:tab w:val="left" w:pos="993"/>
        </w:tabs>
        <w:spacing w:before="0" w:beforeAutospacing="0" w:after="0" w:afterAutospacing="0" w:line="36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работников, непосредственно осуществляющих ветеринарную деятельность, государственный ветеринарный надзор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и (или) проводящих ветеринарно-санитарную экспертизу;</w:t>
      </w:r>
    </w:p>
    <w:p w:rsidR="00C71C0D" w:rsidRPr="0002192E" w:rsidRDefault="00245A67" w:rsidP="00724289">
      <w:pPr>
        <w:numPr>
          <w:ilvl w:val="0"/>
          <w:numId w:val="13"/>
        </w:numPr>
        <w:tabs>
          <w:tab w:val="clear" w:pos="720"/>
          <w:tab w:val="num" w:pos="851"/>
          <w:tab w:val="left" w:pos="993"/>
        </w:tabs>
        <w:spacing w:before="0" w:beforeAutospacing="0" w:after="0" w:afterAutospacing="0" w:line="360" w:lineRule="auto"/>
        <w:ind w:left="0" w:right="18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работников, непосредственно осуществляющих работы по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обслуживанию и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ремонту относящихся к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жилищно-коммунальному хозяйству канализационных сооружений и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сетей, в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 числе производственного оборудования на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этих объектах;</w:t>
      </w:r>
    </w:p>
    <w:p w:rsidR="00C71C0D" w:rsidRPr="0002192E" w:rsidRDefault="00245A67" w:rsidP="00245A67">
      <w:pPr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и) показатели тяжести трудового процесса идентифицируются как вредные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и (или) опасные факторы только на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рабочих местах, на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которых работниками осуществляется выполнение обусловленных технологическим процессом (трудовой функцией) работ по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поднятию и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переноске грузов вручную, работ в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вынужденном положении или положении «стоя», при перемещении в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пространстве;</w:t>
      </w:r>
    </w:p>
    <w:p w:rsidR="00C71C0D" w:rsidRPr="0002192E" w:rsidRDefault="00245A67" w:rsidP="00245A67">
      <w:pPr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к) показатели напряженности трудового процесса идентифицируются как вредные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и (или) опасные факторы при выполнении работ по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диспетчеризации производственных процессов, в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 числе конвейерного типа, на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рабочих местах операторов производственного оборудования, при управлении транспортными средствами.</w:t>
      </w:r>
    </w:p>
    <w:p w:rsidR="00C71C0D" w:rsidRPr="0002192E" w:rsidRDefault="00245A67" w:rsidP="00245A67">
      <w:pPr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4.5. Имеющиеся на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рабочем месте факторы производственной среды и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трудового процесса признаются идентифицированными вредными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и (или) опасными факторами в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случае совпадения их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наименований с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наименованиями факторов производственной среды и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трудового процесса, предусмотренных классификатором.</w:t>
      </w:r>
    </w:p>
    <w:p w:rsidR="00C71C0D" w:rsidRPr="0002192E" w:rsidRDefault="00245A67" w:rsidP="00245A67">
      <w:pPr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этом сопоставление и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установление совпадения имеющихся на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рабочем месте химических факторов с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химическими факторами, предусмотренными классификатором, производится путем сопоставления их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химических названий по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международным классификациям, 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синонимов, торговых названий, идентификационных номеров и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других характеристик, идентифицирующих химическое вещество.</w:t>
      </w:r>
    </w:p>
    <w:p w:rsidR="00C71C0D" w:rsidRPr="0002192E" w:rsidRDefault="00245A67" w:rsidP="00245A67">
      <w:pPr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Все вредные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и (или) опасные факторы, которые идентифицированы на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рабочем месте, подлежат исследованиям (испытаниям) и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измерениям.</w:t>
      </w:r>
    </w:p>
    <w:p w:rsidR="00C71C0D" w:rsidRPr="0002192E" w:rsidRDefault="00245A67" w:rsidP="00245A67">
      <w:pPr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4.6. По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результатам идентификации экспертом оформляется заключение. При несовпадении </w:t>
      </w:r>
      <w:r w:rsidR="00724289"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наименований,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имеющихся на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рабочем месте факторов производственной среды и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трудового процесса с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наименованиями факторов производственной среды и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трудового процесса, предусмотренных классификатором, экспертом фиксируется в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своем заключении отсутствие на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рабочем месте вредных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и (или) опасных факторов.</w:t>
      </w:r>
    </w:p>
    <w:p w:rsidR="00C71C0D" w:rsidRPr="0002192E" w:rsidRDefault="00245A67" w:rsidP="00245A67">
      <w:pPr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4.7. На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основании заключения эксперта, указанного в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пункте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10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Методики, комиссия принимает решение о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проведении на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рабочем месте исследований (испытаний) и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измерений вредных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и (или) опасных факторов.</w:t>
      </w:r>
    </w:p>
    <w:p w:rsidR="00C71C0D" w:rsidRPr="0002192E" w:rsidRDefault="00245A67" w:rsidP="00245A67">
      <w:pPr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Решения комиссии принимаются простым большинством голосов и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оформляются протоколом заседания комиссии. Члены комиссии, не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согласные с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принятым решением, подписывают решение с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изложением своего аргументированного особого мнения, которое приобщается к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протоколу заседания комиссии.</w:t>
      </w:r>
    </w:p>
    <w:p w:rsidR="00C71C0D" w:rsidRPr="0002192E" w:rsidRDefault="00245A67" w:rsidP="00245A67">
      <w:pPr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4.8. Перечень вредных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и (или) опасных производственных факторов, подлежащих исследованиям (испытаниям) и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измерениям, формируется комиссией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исходя из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государственных нормативных требований охраны труда, характеристик технологического процесса и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производственного оборудования, применяемых материалов и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сырья, результатов ранее проводившихся исследований (испытаний) и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измерений вредных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и (или) опасных производственных факторов, а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 исходя из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предложений работников.</w:t>
      </w:r>
    </w:p>
    <w:p w:rsidR="00C71C0D" w:rsidRPr="0002192E" w:rsidRDefault="00245A67" w:rsidP="00245A67">
      <w:pPr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4.9. Результаты идентификации заносятся в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 «Перечень рабочих мест, на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которых проводилась специальная оценка условий труда» отчета о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проведении специальной оценки условий труда (далее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отчет).</w:t>
      </w:r>
    </w:p>
    <w:p w:rsidR="00C71C0D" w:rsidRPr="0002192E" w:rsidRDefault="00245A67" w:rsidP="00245A67">
      <w:pPr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4.10. В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 частью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6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статьи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10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Федерального закона от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28.12.2013 №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426-ФЗ «О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специальной оценке условий труда» идентификация не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осуществляется в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отношении:</w:t>
      </w:r>
    </w:p>
    <w:p w:rsidR="00C71C0D" w:rsidRPr="0002192E" w:rsidRDefault="00245A67" w:rsidP="00245A67">
      <w:pPr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1) рабочих мест работников, профессии, должности, специальности которых включены в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списки работ, производств, профессий, должностей, специальностей и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учреждений (организаций), с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учетом которых осуществляется досрочное назначение страховой пенсии по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старости;</w:t>
      </w:r>
    </w:p>
    <w:p w:rsidR="00C71C0D" w:rsidRPr="0002192E" w:rsidRDefault="00245A67" w:rsidP="00245A67">
      <w:pPr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2) рабочих мест, в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связи с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работой на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которых работникам в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законодательными и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иными нормативными правовыми актами предоставляются гарантии и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компенсации за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работу с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вредными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и (или) опасными условиями труда;</w:t>
      </w:r>
    </w:p>
    <w:p w:rsidR="00C71C0D" w:rsidRPr="0002192E" w:rsidRDefault="00245A67" w:rsidP="00245A67">
      <w:pPr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3) рабочих мест, на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которых по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результатам предыдущей проведенной специальной оценки условий труда были установлены вредные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и (или) опасные условия труда.</w:t>
      </w:r>
    </w:p>
    <w:p w:rsidR="00C71C0D" w:rsidRPr="0002192E" w:rsidRDefault="00245A67" w:rsidP="00245A67">
      <w:pPr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Эксперту в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целях определения перечня вредных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и (или) опасных производственных факторов, подлежащих исследованиям (испытаниям) и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измерениям, на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рабочих местах, указанных в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подпунктах 1–3 настоящего пункта, необходимо осуществлять следующие предусмотренные частями 3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и 8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статьи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10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Федерального закона от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28.12.2013 №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426-ФЗ «О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специальной оценке условий труда» мероприятия:</w:t>
      </w:r>
    </w:p>
    <w:p w:rsidR="00C71C0D" w:rsidRPr="0002192E" w:rsidRDefault="00245A67" w:rsidP="00724289">
      <w:pPr>
        <w:numPr>
          <w:ilvl w:val="0"/>
          <w:numId w:val="14"/>
        </w:numPr>
        <w:tabs>
          <w:tab w:val="clear" w:pos="720"/>
          <w:tab w:val="num" w:pos="851"/>
        </w:tabs>
        <w:spacing w:before="0" w:beforeAutospacing="0" w:after="0" w:afterAutospacing="0" w:line="36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документов, характеризующих технологический процесс, используемые на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рабочем месте производственное оборудование, материалы и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сырье, а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 регламентирующих обязанности работника, занятого на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рабочем месте;</w:t>
      </w:r>
    </w:p>
    <w:p w:rsidR="00C71C0D" w:rsidRPr="0002192E" w:rsidRDefault="00245A67" w:rsidP="00724289">
      <w:pPr>
        <w:numPr>
          <w:ilvl w:val="0"/>
          <w:numId w:val="14"/>
        </w:numPr>
        <w:tabs>
          <w:tab w:val="clear" w:pos="720"/>
          <w:tab w:val="num" w:pos="851"/>
        </w:tabs>
        <w:spacing w:before="0" w:beforeAutospacing="0" w:after="0" w:afterAutospacing="0" w:line="36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192E">
        <w:rPr>
          <w:rFonts w:ascii="Times New Roman" w:hAnsi="Times New Roman" w:cs="Times New Roman"/>
          <w:color w:val="000000"/>
          <w:sz w:val="24"/>
          <w:szCs w:val="24"/>
        </w:rPr>
        <w:t>обследование рабочего места;</w:t>
      </w:r>
    </w:p>
    <w:p w:rsidR="00C71C0D" w:rsidRPr="0002192E" w:rsidRDefault="00245A67" w:rsidP="00724289">
      <w:pPr>
        <w:numPr>
          <w:ilvl w:val="0"/>
          <w:numId w:val="14"/>
        </w:numPr>
        <w:tabs>
          <w:tab w:val="clear" w:pos="720"/>
          <w:tab w:val="num" w:pos="851"/>
        </w:tabs>
        <w:spacing w:before="0" w:beforeAutospacing="0" w:after="0" w:afterAutospacing="0" w:line="36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ознакомление с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работами, фактически выполняемыми работником на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рабочем месте;</w:t>
      </w:r>
    </w:p>
    <w:p w:rsidR="00C71C0D" w:rsidRPr="0002192E" w:rsidRDefault="00245A67" w:rsidP="00724289">
      <w:pPr>
        <w:numPr>
          <w:ilvl w:val="0"/>
          <w:numId w:val="14"/>
        </w:numPr>
        <w:tabs>
          <w:tab w:val="clear" w:pos="720"/>
          <w:tab w:val="num" w:pos="851"/>
        </w:tabs>
        <w:spacing w:before="0" w:beforeAutospacing="0" w:after="0" w:afterAutospacing="0" w:line="36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предложений работников по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осуществлению на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их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рабочих местах идентификации потенциально вредных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и (или) опасных производственных факторов (при их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наличии);</w:t>
      </w:r>
    </w:p>
    <w:p w:rsidR="00C71C0D" w:rsidRPr="0002192E" w:rsidRDefault="00245A67" w:rsidP="00724289">
      <w:pPr>
        <w:numPr>
          <w:ilvl w:val="0"/>
          <w:numId w:val="14"/>
        </w:numPr>
        <w:tabs>
          <w:tab w:val="clear" w:pos="720"/>
          <w:tab w:val="num" w:pos="851"/>
        </w:tabs>
        <w:spacing w:before="0" w:beforeAutospacing="0" w:after="0" w:afterAutospacing="0" w:line="360" w:lineRule="auto"/>
        <w:ind w:left="0" w:right="18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иные мероприятия, предусмотренные процедурой осуществления идентификации.</w:t>
      </w:r>
    </w:p>
    <w:p w:rsidR="00C71C0D" w:rsidRPr="0002192E" w:rsidRDefault="00245A67" w:rsidP="00724289">
      <w:pPr>
        <w:spacing w:before="0" w:beforeAutospacing="0" w:after="0" w:afterAutospacing="0" w:line="36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192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5. Декларирование соответствия условий труда</w:t>
      </w:r>
      <w:r w:rsidRPr="0002192E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02192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государственным нормативным требованиям охраны труда</w:t>
      </w:r>
    </w:p>
    <w:p w:rsidR="00C71C0D" w:rsidRPr="0002192E" w:rsidRDefault="00245A67" w:rsidP="00245A67">
      <w:pPr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5.1. Декларация соответствия условий труда государственным нормативным требованиям охраны труда (далее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декларация) оформляется в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отношении рабочих мест, на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которых вредные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и (или) опасные факторы производственной среды и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трудового процесса по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результатам осуществления идентификации потенциально вредных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и (или) опасных производственных факторов не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выявлены, а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 условия труда на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которых по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результатам исследований (испытаний) и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измерений вредных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и (или) опасных производственных факторов признаны оптимальными или допустимыми, за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исключением рабочих мест, указанных в части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6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статьи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10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Федерального закона от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28.12.2013 №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426-ФЗ «О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специальной оценке условий труда».</w:t>
      </w:r>
    </w:p>
    <w:p w:rsidR="00C71C0D" w:rsidRPr="0002192E" w:rsidRDefault="00245A67" w:rsidP="00245A67">
      <w:pPr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5.2. Декларация подписывается </w:t>
      </w:r>
      <w:r w:rsidR="0072428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директором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заверяется печатью и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подается по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форме согласно приложению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территориальный орган Федеральной службы по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труду и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занятости (далее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государственная инспекция труда в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субъекте Российской Федерации) по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месту своего нахождения либо нахождения своего филиала или представительства лично или направляется почтовым отправлением с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описью вложения и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уведомлением о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вручении.</w:t>
      </w:r>
    </w:p>
    <w:p w:rsidR="00C71C0D" w:rsidRPr="0002192E" w:rsidRDefault="00245A67" w:rsidP="00245A67">
      <w:pPr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5.3. Декларация может быть подана в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форме электронного документа, подписанного усиленной квалифицированной электронной подписью </w:t>
      </w:r>
      <w:r w:rsidR="0072428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директора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посредством заполнения формы 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декларации на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официальном сайте Федеральной службы по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труду и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занятости в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информационно-телекоммуникационной сети Интернет.</w:t>
      </w:r>
    </w:p>
    <w:p w:rsidR="00C71C0D" w:rsidRPr="0002192E" w:rsidRDefault="00245A67" w:rsidP="00245A67">
      <w:pPr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5.4. Декларация подается в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срок не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позднее 30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рабочих дней со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дня внесения сведений о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результатах проведения специальной оценки условий труда в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Федеральную государственную информационную систему учета результатов проведения специальной оценки условий труда в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порядке, установленном Федеральным законом от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28.12.2013 №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426-ФЗ «О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специальной оценке условий труда», на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рабочих местах, в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отношении которых подается декларация с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учетом требований законодательства Российской Федерации о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персональных данных и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законодательства Российской Федерации о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государственной и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иной охраняемой законом тайне.</w:t>
      </w:r>
    </w:p>
    <w:p w:rsidR="00C71C0D" w:rsidRPr="0002192E" w:rsidRDefault="00245A67" w:rsidP="00245A67">
      <w:pPr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5.5. В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случае подачи декларации в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отношении хотя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бы одного аналогичного рабочего места, признанного таковым в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законодательством о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специальной оценке условий труда, в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декларацию включаются сведения обо всех рабочих местах, аналогичных данному рабочему месту.</w:t>
      </w:r>
    </w:p>
    <w:p w:rsidR="00C71C0D" w:rsidRPr="0002192E" w:rsidRDefault="00245A67" w:rsidP="00724289">
      <w:pPr>
        <w:spacing w:before="0" w:beforeAutospacing="0" w:after="0" w:afterAutospacing="0" w:line="36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192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6. Классификация условий труда</w:t>
      </w:r>
    </w:p>
    <w:p w:rsidR="00C71C0D" w:rsidRPr="0002192E" w:rsidRDefault="00245A67" w:rsidP="00245A67">
      <w:pPr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6.1. Условия труда по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степени вредности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и (или) опасности подразделяются на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четыре класса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оптимальные, допустимые, вредные и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опасные условия труда.</w:t>
      </w:r>
    </w:p>
    <w:p w:rsidR="00C71C0D" w:rsidRPr="0002192E" w:rsidRDefault="00245A67" w:rsidP="00245A67">
      <w:pPr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Оптимальными условиями труда (1-й класс) являются условия труда, при которых воздействие на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работника вредных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(или) опасных производственных факторов отсутствует или </w:t>
      </w:r>
      <w:r w:rsidR="00724289"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уровни воздействия,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которых не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превышают уровни, установленные нормативами (гигиеническими нормативами) условий труда и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принятые в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качестве безопасных для человека, и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создаются предпосылки для поддержания высокого уровня работоспособности работника.</w:t>
      </w:r>
    </w:p>
    <w:p w:rsidR="00C71C0D" w:rsidRPr="0002192E" w:rsidRDefault="00245A67" w:rsidP="00245A67">
      <w:pPr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Допустимыми условиями труда (2-й класс) являются условия труда, при которых на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работника воздействуют вредные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и (или) опасные производственные факторы, уровни воздействия которых не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превышают уровни, установленные нормативами (гигиеническими нормативами) условий труда, а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измененное функциональное состояние организма работника восстанавливается во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время регламентированного отдыха или к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началу следующего рабочего дня (смены).</w:t>
      </w:r>
    </w:p>
    <w:p w:rsidR="00C71C0D" w:rsidRPr="0002192E" w:rsidRDefault="00245A67" w:rsidP="00245A67">
      <w:pPr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Вредными условиями труда (3-й класс) являются условия труда, при которых уровни воздействия вредных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и (или) опасных производственных факторов превышают уровни, установленные нормативами (гигиеническими нормативами) условий труда, в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 числе:</w:t>
      </w:r>
    </w:p>
    <w:p w:rsidR="00C71C0D" w:rsidRPr="0002192E" w:rsidRDefault="00245A67" w:rsidP="00245A67">
      <w:pPr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подкласс 3.1 (вредные условия труда 1-й степени)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условия труда, при которых на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работника воздействуют вредные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и (или) опасные производственные факторы, после воздействия которых измененное функциональное состояние организма работника восстанавливается, как правило, при более длительном, чем до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начала следующего рабочего дня 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(смены), прекращении воздействия данных факторов, и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увеличивается риск повреждения здоровья;</w:t>
      </w:r>
    </w:p>
    <w:p w:rsidR="00C71C0D" w:rsidRPr="0002192E" w:rsidRDefault="00245A67" w:rsidP="00724289">
      <w:pPr>
        <w:numPr>
          <w:ilvl w:val="0"/>
          <w:numId w:val="15"/>
        </w:numPr>
        <w:tabs>
          <w:tab w:val="clear" w:pos="720"/>
          <w:tab w:val="num" w:pos="851"/>
        </w:tabs>
        <w:spacing w:before="0" w:beforeAutospacing="0" w:after="0" w:afterAutospacing="0" w:line="36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подкласс 3.2 (вредные условия труда 2-й степени)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условия труда, при которых на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работника воздействуют вредные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и (или) опасные производственные факторы, уровни воздействия которых способны вызвать стойкие функциональные изменения в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организме работника, приводящие к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появлению и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развитию начальных форм профессиональных заболеваний или профессиональных заболеваний легкой степени тяжести (без потери профессиональной трудоспособности), возникающих после продолжительной экспозиции (15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более лет);</w:t>
      </w:r>
    </w:p>
    <w:p w:rsidR="00C71C0D" w:rsidRPr="0002192E" w:rsidRDefault="00245A67" w:rsidP="00724289">
      <w:pPr>
        <w:numPr>
          <w:ilvl w:val="0"/>
          <w:numId w:val="15"/>
        </w:numPr>
        <w:tabs>
          <w:tab w:val="clear" w:pos="720"/>
          <w:tab w:val="num" w:pos="851"/>
        </w:tabs>
        <w:spacing w:before="0" w:beforeAutospacing="0" w:after="0" w:afterAutospacing="0" w:line="36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подкласс 3.3 (вредные условия труда 3-й степени)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условия труда, при которых на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работника воздействуют вредные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и (или) опасные производственные факторы, уровни воздействия которых способны вызвать стойкие функциональные изменения в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организме работника, приводящие к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появлению и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развитию профессиональных заболеваний легкой и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средней степени тяжести (с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потерей профессиональной трудоспособности) в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период трудовой деятельности;</w:t>
      </w:r>
    </w:p>
    <w:p w:rsidR="00C71C0D" w:rsidRPr="0002192E" w:rsidRDefault="00245A67" w:rsidP="00724289">
      <w:pPr>
        <w:numPr>
          <w:ilvl w:val="0"/>
          <w:numId w:val="15"/>
        </w:numPr>
        <w:tabs>
          <w:tab w:val="clear" w:pos="720"/>
          <w:tab w:val="num" w:pos="851"/>
        </w:tabs>
        <w:spacing w:before="0" w:beforeAutospacing="0" w:after="0" w:afterAutospacing="0" w:line="360" w:lineRule="auto"/>
        <w:ind w:left="0" w:right="18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подкласс 3.4 (вредные условия труда 4-й степени)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условия труда, при которых на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работника воздействуют вредные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и (или) опасные производственные факторы, уровни воздействия которых способны привести к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появлению и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развитию тяжелых форм профессиональных заболеваний (с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потерей общей трудоспособности) в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период трудовой деятельности.</w:t>
      </w:r>
    </w:p>
    <w:p w:rsidR="00C71C0D" w:rsidRPr="0002192E" w:rsidRDefault="00245A67" w:rsidP="00245A67">
      <w:pPr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Опасными условиями труда (4-й класс) являются условия труда, при которых на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работника воздействуют вредные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и (или) опасные производственные факторы, уровни воздействия которых в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течение всего рабочего дня (смены) или его части способны создать угрозу жизни работника, а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последствия воздействия данных факторов обусловливают высокий риск развития острого профессионального заболевания в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период трудовой деятельности.</w:t>
      </w:r>
    </w:p>
    <w:p w:rsidR="00C71C0D" w:rsidRPr="0002192E" w:rsidRDefault="00245A67" w:rsidP="00245A67">
      <w:pPr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6.2. В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случае применения работниками, занятыми на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рабочих местах с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вредными условиями труда, эффективных средств индивидуальной защиты, прошедших обязательную сертификацию в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порядке, установленном соответствующим техническим регламентом, класс (подкласс) условий труда может быть снижен комиссией на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основании заключения эксперта организации, проводящей специальную оценку условий труда, на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одну степень в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Методикой.</w:t>
      </w:r>
    </w:p>
    <w:p w:rsidR="00C71C0D" w:rsidRPr="0002192E" w:rsidRDefault="00245A67" w:rsidP="009C1593">
      <w:pPr>
        <w:spacing w:before="0" w:beforeAutospacing="0" w:after="0" w:afterAutospacing="0" w:line="36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192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7. Результаты проведения специальной оценки условий труда</w:t>
      </w:r>
    </w:p>
    <w:p w:rsidR="00C71C0D" w:rsidRPr="0002192E" w:rsidRDefault="00245A67" w:rsidP="00245A67">
      <w:pPr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7.1. Результаты проведения специальной оценки условий труда оформляются в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виде отчета, который включает в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себя:</w:t>
      </w:r>
    </w:p>
    <w:p w:rsidR="00C71C0D" w:rsidRPr="009C1593" w:rsidRDefault="00245A67" w:rsidP="009C1593">
      <w:pPr>
        <w:pStyle w:val="a9"/>
        <w:numPr>
          <w:ilvl w:val="0"/>
          <w:numId w:val="16"/>
        </w:numPr>
        <w:tabs>
          <w:tab w:val="left" w:pos="851"/>
        </w:tabs>
        <w:spacing w:before="0" w:beforeAutospacing="0" w:after="0" w:afterAutospacing="0" w:line="360" w:lineRule="auto"/>
        <w:ind w:left="0" w:right="18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C159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сведения об</w:t>
      </w:r>
      <w:r w:rsidRPr="009C159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C159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организации, проводящей специальную оценку условий труда, с</w:t>
      </w:r>
      <w:r w:rsidRPr="009C159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C159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приложением копий документов, подтверждающих ее</w:t>
      </w:r>
      <w:r w:rsidRPr="009C159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C159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соответствие установленным требованиям;</w:t>
      </w:r>
    </w:p>
    <w:p w:rsidR="00C71C0D" w:rsidRPr="009C1593" w:rsidRDefault="00245A67" w:rsidP="009C1593">
      <w:pPr>
        <w:pStyle w:val="a9"/>
        <w:numPr>
          <w:ilvl w:val="0"/>
          <w:numId w:val="16"/>
        </w:numPr>
        <w:tabs>
          <w:tab w:val="left" w:pos="851"/>
        </w:tabs>
        <w:spacing w:before="0" w:beforeAutospacing="0" w:after="0" w:afterAutospacing="0" w:line="360" w:lineRule="auto"/>
        <w:ind w:left="0" w:right="18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C159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перечень рабочих мест, на</w:t>
      </w:r>
      <w:r w:rsidRPr="009C159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C159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которых проводилась специальная оценка условий труда, с</w:t>
      </w:r>
      <w:r w:rsidRPr="009C159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C159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указанием вредных</w:t>
      </w:r>
      <w:r w:rsidRPr="009C159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C1593">
        <w:rPr>
          <w:rFonts w:ascii="Times New Roman" w:hAnsi="Times New Roman" w:cs="Times New Roman"/>
          <w:color w:val="000000"/>
          <w:sz w:val="24"/>
          <w:szCs w:val="24"/>
          <w:lang w:val="ru-RU"/>
        </w:rPr>
        <w:t>и (или) опасных производственных факторов, которые идентифицированы на</w:t>
      </w:r>
      <w:r w:rsidRPr="009C159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C159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данных рабочих местах;</w:t>
      </w:r>
    </w:p>
    <w:p w:rsidR="00C71C0D" w:rsidRPr="009C1593" w:rsidRDefault="00245A67" w:rsidP="009C1593">
      <w:pPr>
        <w:pStyle w:val="a9"/>
        <w:numPr>
          <w:ilvl w:val="0"/>
          <w:numId w:val="16"/>
        </w:numPr>
        <w:tabs>
          <w:tab w:val="left" w:pos="851"/>
        </w:tabs>
        <w:spacing w:before="0" w:beforeAutospacing="0" w:after="0" w:afterAutospacing="0" w:line="360" w:lineRule="auto"/>
        <w:ind w:left="0" w:right="18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C159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карты специальной оценки условий труда, содержащие сведения об</w:t>
      </w:r>
      <w:r w:rsidRPr="009C159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C159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установленном экспертом организации, проводящей специальную оценку условий труда, классе (подклассе) условий труда на</w:t>
      </w:r>
      <w:r w:rsidRPr="009C159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C159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конкретных рабочих местах;</w:t>
      </w:r>
    </w:p>
    <w:p w:rsidR="00C71C0D" w:rsidRPr="009C1593" w:rsidRDefault="00245A67" w:rsidP="009C1593">
      <w:pPr>
        <w:pStyle w:val="a9"/>
        <w:numPr>
          <w:ilvl w:val="0"/>
          <w:numId w:val="16"/>
        </w:numPr>
        <w:tabs>
          <w:tab w:val="left" w:pos="851"/>
        </w:tabs>
        <w:spacing w:before="0" w:beforeAutospacing="0" w:after="0" w:afterAutospacing="0" w:line="360" w:lineRule="auto"/>
        <w:ind w:left="0" w:right="18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C159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протоколы проведения исследований (испытаний) и</w:t>
      </w:r>
      <w:r w:rsidRPr="009C159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C159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измерений идентифицированных вредных</w:t>
      </w:r>
      <w:r w:rsidRPr="009C159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C1593">
        <w:rPr>
          <w:rFonts w:ascii="Times New Roman" w:hAnsi="Times New Roman" w:cs="Times New Roman"/>
          <w:color w:val="000000"/>
          <w:sz w:val="24"/>
          <w:szCs w:val="24"/>
          <w:lang w:val="ru-RU"/>
        </w:rPr>
        <w:t>и (или) опасных производственных факторов;</w:t>
      </w:r>
    </w:p>
    <w:p w:rsidR="00C71C0D" w:rsidRPr="009C1593" w:rsidRDefault="00245A67" w:rsidP="009C1593">
      <w:pPr>
        <w:pStyle w:val="a9"/>
        <w:numPr>
          <w:ilvl w:val="0"/>
          <w:numId w:val="16"/>
        </w:numPr>
        <w:tabs>
          <w:tab w:val="left" w:pos="851"/>
        </w:tabs>
        <w:spacing w:before="0" w:beforeAutospacing="0" w:after="0" w:afterAutospacing="0" w:line="360" w:lineRule="auto"/>
        <w:ind w:left="0" w:right="18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C159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протоколы оценки эффективности применяемых работниками, занятыми на</w:t>
      </w:r>
      <w:r w:rsidRPr="009C159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C159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рабочих местах с</w:t>
      </w:r>
      <w:r w:rsidRPr="009C159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C159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вредными условиями труда, средств индивидуальной защиты, прошедших обязательную сертификацию в</w:t>
      </w:r>
      <w:r w:rsidRPr="009C159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C159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порядке, установленном техническим регламентом, проводимой в</w:t>
      </w:r>
      <w:r w:rsidRPr="009C159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C1593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целях снижения класса (подкласса) условий труда (в</w:t>
      </w:r>
      <w:r w:rsidRPr="009C159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C159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случае проведения такой оценки);</w:t>
      </w:r>
    </w:p>
    <w:p w:rsidR="00C71C0D" w:rsidRPr="009C1593" w:rsidRDefault="00245A67" w:rsidP="009C1593">
      <w:pPr>
        <w:pStyle w:val="a9"/>
        <w:numPr>
          <w:ilvl w:val="0"/>
          <w:numId w:val="16"/>
        </w:numPr>
        <w:tabs>
          <w:tab w:val="left" w:pos="851"/>
        </w:tabs>
        <w:spacing w:before="0" w:beforeAutospacing="0" w:after="0" w:afterAutospacing="0" w:line="360" w:lineRule="auto"/>
        <w:ind w:left="0" w:right="18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C159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протокол комиссии, содержащий решение о</w:t>
      </w:r>
      <w:r w:rsidRPr="009C159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C159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невозможности проведения исследований (испытаний) и</w:t>
      </w:r>
      <w:r w:rsidRPr="009C159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C159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измерений (при наличии такого решения);</w:t>
      </w:r>
    </w:p>
    <w:p w:rsidR="00C71C0D" w:rsidRPr="009C1593" w:rsidRDefault="00245A67" w:rsidP="009C1593">
      <w:pPr>
        <w:pStyle w:val="a9"/>
        <w:numPr>
          <w:ilvl w:val="0"/>
          <w:numId w:val="16"/>
        </w:numPr>
        <w:tabs>
          <w:tab w:val="left" w:pos="851"/>
        </w:tabs>
        <w:spacing w:before="0" w:beforeAutospacing="0" w:after="0" w:afterAutospacing="0" w:line="360" w:lineRule="auto"/>
        <w:ind w:left="0" w:right="18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C159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сводную ведомость специальной оценки условий труда;</w:t>
      </w:r>
    </w:p>
    <w:p w:rsidR="00C71C0D" w:rsidRPr="009C1593" w:rsidRDefault="00245A67" w:rsidP="009C1593">
      <w:pPr>
        <w:pStyle w:val="a9"/>
        <w:numPr>
          <w:ilvl w:val="0"/>
          <w:numId w:val="16"/>
        </w:numPr>
        <w:tabs>
          <w:tab w:val="left" w:pos="851"/>
        </w:tabs>
        <w:spacing w:before="0" w:beforeAutospacing="0" w:after="0" w:afterAutospacing="0" w:line="360" w:lineRule="auto"/>
        <w:ind w:left="0" w:right="18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C159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перечень мероприятий по</w:t>
      </w:r>
      <w:r w:rsidRPr="009C159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C159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улучшению условий и</w:t>
      </w:r>
      <w:r w:rsidRPr="009C159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C159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охраны труда работников, на</w:t>
      </w:r>
      <w:r w:rsidRPr="009C159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C159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рабочих местах которых проводилась специальная оценка условий труда;</w:t>
      </w:r>
    </w:p>
    <w:p w:rsidR="00C71C0D" w:rsidRPr="009C1593" w:rsidRDefault="00245A67" w:rsidP="009C1593">
      <w:pPr>
        <w:pStyle w:val="a9"/>
        <w:numPr>
          <w:ilvl w:val="0"/>
          <w:numId w:val="16"/>
        </w:numPr>
        <w:tabs>
          <w:tab w:val="left" w:pos="851"/>
        </w:tabs>
        <w:spacing w:before="0" w:beforeAutospacing="0" w:after="0" w:afterAutospacing="0" w:line="360" w:lineRule="auto"/>
        <w:ind w:left="0" w:right="18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C159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заключения эксперта организации, проводящей специальную оценку условий труда;</w:t>
      </w:r>
    </w:p>
    <w:p w:rsidR="00C71C0D" w:rsidRPr="009C1593" w:rsidRDefault="00245A67" w:rsidP="009C1593">
      <w:pPr>
        <w:pStyle w:val="a9"/>
        <w:numPr>
          <w:ilvl w:val="0"/>
          <w:numId w:val="16"/>
        </w:numPr>
        <w:tabs>
          <w:tab w:val="left" w:pos="851"/>
        </w:tabs>
        <w:spacing w:before="0" w:beforeAutospacing="0" w:after="0" w:afterAutospacing="0" w:line="360" w:lineRule="auto"/>
        <w:ind w:left="0" w:right="18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C159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замечания и</w:t>
      </w:r>
      <w:r w:rsidRPr="009C159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C159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возражения работника относительно результатов специальной оценки условий труда, проведенной на</w:t>
      </w:r>
      <w:r w:rsidRPr="009C159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C1593">
        <w:rPr>
          <w:rFonts w:ascii="Times New Roman" w:hAnsi="Times New Roman" w:cs="Times New Roman"/>
          <w:color w:val="000000"/>
          <w:sz w:val="24"/>
          <w:szCs w:val="24"/>
          <w:lang w:val="ru-RU"/>
        </w:rPr>
        <w:t>его рабочем месте, представленные в</w:t>
      </w:r>
      <w:r w:rsidRPr="009C159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C159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письменном виде (при наличии).</w:t>
      </w:r>
    </w:p>
    <w:p w:rsidR="00C71C0D" w:rsidRPr="0002192E" w:rsidRDefault="00245A67" w:rsidP="00245A67">
      <w:pPr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Отчет о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проведении специальной оценки условий труда должен содержать идентификационный номер, указанный в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пункте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2.5 настоящего положения.</w:t>
      </w:r>
    </w:p>
    <w:p w:rsidR="00C71C0D" w:rsidRPr="0002192E" w:rsidRDefault="00245A67" w:rsidP="00245A67">
      <w:pPr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7.2. Отчет о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проведении специальной оценки условий труда, составленный на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бумажном носителе или в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форме электронного документа, подписывается всеми членами комиссии и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утверждается председателем комиссии в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срок не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позднее чем 30 календарных дней со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дня его направления работодателю организацией, проводящей специальную оценку условий труда, путем подписания собственноручной подписью либо усиленной квалифицированной электронной подписью или усиленной неквалифицированной электронной подписью, сертификат ключа проверки которой создан и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используется в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муниципальных услуг в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электронной форме, в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установленном Правительством 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Российской Федерации порядке и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условии организации взаимодействия физического лица с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такой инфраструктурой с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применением прошедших в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установленном порядке процедуру оценки соответствия средств защиты информации.</w:t>
      </w:r>
    </w:p>
    <w:p w:rsidR="00C71C0D" w:rsidRPr="0002192E" w:rsidRDefault="00245A67" w:rsidP="00245A67">
      <w:pPr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7.3. </w:t>
      </w:r>
      <w:r w:rsidR="009C15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ГАПОУ СО «АМТ» 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течение трех дней со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дня утверждения отчета о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проведении специальной оценки условий труда обязан уведомить об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этом организацию, проводившую специальную оценку условий труда, любым доступным способом, обеспечивающим возможность подтверждения факта такого уведомления, а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 направить в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ее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адрес копию утвержденного отчета о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проведении специальной оценки условий труда заказным почтовым отправлением с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уведомлением о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вручении либо в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форме электронного документа, подписанного усиленной квалифицированной электронной подписью.</w:t>
      </w:r>
    </w:p>
    <w:p w:rsidR="00C71C0D" w:rsidRPr="0002192E" w:rsidRDefault="00245A67" w:rsidP="00245A67">
      <w:pPr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7.4. Организация, проводящая специальную оценку условий труда, в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течение 10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рабочих дней со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дня утверждения отчета о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ее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проведении передает в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Федеральную государственную информационную систему учета результатов проведения специальной оценки условий труда в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форме электронного документа, подписанного усиленной квалифицированной электронной подписью, сведения, предусмотренные Федеральным законом №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426-ФЗ.</w:t>
      </w:r>
    </w:p>
    <w:p w:rsidR="00C71C0D" w:rsidRPr="0002192E" w:rsidRDefault="00245A67" w:rsidP="00245A67">
      <w:pPr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7.5. Организация, проводящая специальную оценку условий труда, в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течение трех рабочих дней со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дня внесения в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Федеральную государственную информационную систему учета результатов проведения специальной оценки условий труда сведений обязана уведомить работодателя об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этом на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бумажном носителе заказным почтовым отправлением с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уведомлением о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вручении либо в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форме электронного документа, подписанного усиленной квалифицированной электронной подписью, с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приложением копий подтверждающих документов.</w:t>
      </w:r>
    </w:p>
    <w:p w:rsidR="00C71C0D" w:rsidRPr="0002192E" w:rsidRDefault="00245A67" w:rsidP="00245A67">
      <w:pPr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7.6. После получения результатов проведения специальной оценки условий труда издается приказ о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завершении проведения специальной оценки условий труда, в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котором подводятся итоги проведения специальной оценки условий труда и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назначаются ответственные за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ознакомление работников с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их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условиями труда.</w:t>
      </w:r>
    </w:p>
    <w:p w:rsidR="00C71C0D" w:rsidRPr="0002192E" w:rsidRDefault="00245A67" w:rsidP="00245A67">
      <w:pPr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Ознакомление работников с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результатами проведения специальной оценки условий труда на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их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рабочих местах осуществляется под подпись в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срок не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позднее чем 30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календарных дней со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дня утверждения отчета о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проведении специальной оценки условий труда. В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указанный срок не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включаются периоды временной нетрудоспособности работника, нахождения его в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отпуске или командировке.</w:t>
      </w:r>
    </w:p>
    <w:p w:rsidR="00C71C0D" w:rsidRPr="0002192E" w:rsidRDefault="00245A67" w:rsidP="00245A67">
      <w:pPr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7.7. Вновь принятым работникам ознакомление с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результатами специальной оценки условий труда на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их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рабочих местах организует лицо, ответственное за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проведение вводного инструктажа по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охране труда, в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процессе проведения вводного инструктажа по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охране труда.</w:t>
      </w:r>
    </w:p>
    <w:p w:rsidR="00C71C0D" w:rsidRPr="0002192E" w:rsidRDefault="00245A67" w:rsidP="00245A67">
      <w:pPr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7.8. </w:t>
      </w:r>
      <w:r w:rsidR="009C159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ГАПОУ СО «АМТ»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учетом требований законодательства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РФ о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персональных данных и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РФ о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государственной и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иной охраняемой законом тайне организует 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размещение на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своем официальном сайте в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информационно-телекоммуникационной сети Интернет сводных данных о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результатах проведения специальной оценки условий труда в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 установления классов (подклассов) условий труда на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рабочих местах и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перечня мероприятий по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улучшению условий труда работников, на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рабочих местах которых проводилась специальная оценка условий труда, в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срок не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позднее чем в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течение 30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календарных дней со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дня утверждения отчета о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проведении специальной оценки условий труда.</w:t>
      </w:r>
    </w:p>
    <w:p w:rsidR="00C71C0D" w:rsidRPr="0002192E" w:rsidRDefault="00245A67" w:rsidP="00245A67">
      <w:pPr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7.9. </w:t>
      </w:r>
      <w:r w:rsidR="009C159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ГАПОУ СО «АМТ»</w:t>
      </w:r>
      <w:r w:rsidR="009C1593"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вправе требовать от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организации, проводящей специальную оценку условий труда, подтверждения внесения сведений о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результатах проведения специальной оценки условий труда в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Федеральную государственную информационную систему учета результатов проведения специальной оценки условий труда.</w:t>
      </w:r>
    </w:p>
    <w:p w:rsidR="00C71C0D" w:rsidRPr="0002192E" w:rsidRDefault="00245A67" w:rsidP="00245A67">
      <w:pPr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7.10. </w:t>
      </w:r>
      <w:r w:rsidR="009C159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ГАПОУ СО «АМТ»</w:t>
      </w:r>
      <w:r w:rsidR="009C1593"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обязан рассмотреть замечания и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возражения работника относительно результатов специальной оценки условий труда, представленные в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письменном виде, и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принять решение о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проведении в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случае необходимости внеплановой специальной оценки условий труда.</w:t>
      </w:r>
    </w:p>
    <w:p w:rsidR="00C71C0D" w:rsidRPr="0002192E" w:rsidRDefault="00245A67" w:rsidP="00245A67">
      <w:pPr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7.11. Работник вправе представлять </w:t>
      </w:r>
      <w:r w:rsidR="009C159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ГАПОУ СО «АМТ»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, организации, проводящей специальную оценку условий труда, в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письменном виде замечания и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возражения относительно результатов специальной оценки условий труда, проведенной на</w:t>
      </w:r>
      <w:r w:rsidRPr="000219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92E">
        <w:rPr>
          <w:rFonts w:ascii="Times New Roman" w:hAnsi="Times New Roman" w:cs="Times New Roman"/>
          <w:color w:val="000000"/>
          <w:sz w:val="24"/>
          <w:szCs w:val="24"/>
          <w:lang w:val="ru-RU"/>
        </w:rPr>
        <w:t>его рабочем месте.</w:t>
      </w:r>
    </w:p>
    <w:sectPr w:rsidR="00C71C0D" w:rsidRPr="0002192E" w:rsidSect="0002192E">
      <w:headerReference w:type="default" r:id="rId9"/>
      <w:pgSz w:w="11907" w:h="16839"/>
      <w:pgMar w:top="1134" w:right="567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631" w:rsidRDefault="00426631" w:rsidP="0002192E">
      <w:pPr>
        <w:spacing w:before="0" w:after="0"/>
      </w:pPr>
      <w:r>
        <w:separator/>
      </w:r>
    </w:p>
  </w:endnote>
  <w:endnote w:type="continuationSeparator" w:id="0">
    <w:p w:rsidR="00426631" w:rsidRDefault="00426631" w:rsidP="0002192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631" w:rsidRDefault="00426631" w:rsidP="0002192E">
      <w:pPr>
        <w:spacing w:before="0" w:after="0"/>
      </w:pPr>
      <w:r>
        <w:separator/>
      </w:r>
    </w:p>
  </w:footnote>
  <w:footnote w:type="continuationSeparator" w:id="0">
    <w:p w:rsidR="00426631" w:rsidRDefault="00426631" w:rsidP="0002192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4931310"/>
      <w:docPartObj>
        <w:docPartGallery w:val="Page Numbers (Top of Page)"/>
        <w:docPartUnique/>
      </w:docPartObj>
    </w:sdtPr>
    <w:sdtEndPr/>
    <w:sdtContent>
      <w:p w:rsidR="00245A67" w:rsidRDefault="00245A6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1D91" w:rsidRPr="00971D91">
          <w:rPr>
            <w:noProof/>
            <w:lang w:val="ru-RU"/>
          </w:rPr>
          <w:t>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4233"/>
    <w:multiLevelType w:val="multilevel"/>
    <w:tmpl w:val="E2208F2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F6BF2"/>
    <w:multiLevelType w:val="multilevel"/>
    <w:tmpl w:val="F48E70B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6C75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2629"/>
        </w:tabs>
        <w:ind w:left="2629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349"/>
        </w:tabs>
        <w:ind w:left="334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069"/>
        </w:tabs>
        <w:ind w:left="406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789"/>
        </w:tabs>
        <w:ind w:left="478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509"/>
        </w:tabs>
        <w:ind w:left="550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229"/>
        </w:tabs>
        <w:ind w:left="622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949"/>
        </w:tabs>
        <w:ind w:left="694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669"/>
        </w:tabs>
        <w:ind w:left="766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389"/>
        </w:tabs>
        <w:ind w:left="8389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8045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926FE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735B68"/>
    <w:multiLevelType w:val="multilevel"/>
    <w:tmpl w:val="D6DC47E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CB3E9F"/>
    <w:multiLevelType w:val="multilevel"/>
    <w:tmpl w:val="4B521DA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0770B2"/>
    <w:multiLevelType w:val="multilevel"/>
    <w:tmpl w:val="66BE068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1F7A10"/>
    <w:multiLevelType w:val="multilevel"/>
    <w:tmpl w:val="0742B5D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1267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350C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EB3034"/>
    <w:multiLevelType w:val="multilevel"/>
    <w:tmpl w:val="ED2C7140"/>
    <w:lvl w:ilvl="0">
      <w:start w:val="1"/>
      <w:numFmt w:val="bullet"/>
      <w:lvlText w:val=""/>
      <w:lvlJc w:val="left"/>
      <w:pPr>
        <w:tabs>
          <w:tab w:val="num" w:pos="2629"/>
        </w:tabs>
        <w:ind w:left="2629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349"/>
        </w:tabs>
        <w:ind w:left="334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069"/>
        </w:tabs>
        <w:ind w:left="406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789"/>
        </w:tabs>
        <w:ind w:left="478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509"/>
        </w:tabs>
        <w:ind w:left="550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229"/>
        </w:tabs>
        <w:ind w:left="622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949"/>
        </w:tabs>
        <w:ind w:left="694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669"/>
        </w:tabs>
        <w:ind w:left="766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389"/>
        </w:tabs>
        <w:ind w:left="8389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A33086"/>
    <w:multiLevelType w:val="multilevel"/>
    <w:tmpl w:val="829E4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72162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EC6E0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55084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660C0F"/>
    <w:multiLevelType w:val="multilevel"/>
    <w:tmpl w:val="AD0E76E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612FE3"/>
    <w:multiLevelType w:val="hybridMultilevel"/>
    <w:tmpl w:val="95F68FE0"/>
    <w:lvl w:ilvl="0" w:tplc="1382E4A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01779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14"/>
  </w:num>
  <w:num w:numId="5">
    <w:abstractNumId w:val="3"/>
  </w:num>
  <w:num w:numId="6">
    <w:abstractNumId w:val="13"/>
  </w:num>
  <w:num w:numId="7">
    <w:abstractNumId w:val="18"/>
  </w:num>
  <w:num w:numId="8">
    <w:abstractNumId w:val="10"/>
  </w:num>
  <w:num w:numId="9">
    <w:abstractNumId w:val="15"/>
  </w:num>
  <w:num w:numId="10">
    <w:abstractNumId w:val="12"/>
  </w:num>
  <w:num w:numId="11">
    <w:abstractNumId w:val="7"/>
  </w:num>
  <w:num w:numId="12">
    <w:abstractNumId w:val="0"/>
  </w:num>
  <w:num w:numId="13">
    <w:abstractNumId w:val="8"/>
  </w:num>
  <w:num w:numId="14">
    <w:abstractNumId w:val="5"/>
  </w:num>
  <w:num w:numId="15">
    <w:abstractNumId w:val="6"/>
  </w:num>
  <w:num w:numId="16">
    <w:abstractNumId w:val="17"/>
  </w:num>
  <w:num w:numId="17">
    <w:abstractNumId w:val="1"/>
  </w:num>
  <w:num w:numId="18">
    <w:abstractNumId w:val="11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2192E"/>
    <w:rsid w:val="0019387C"/>
    <w:rsid w:val="00245A67"/>
    <w:rsid w:val="002D33B1"/>
    <w:rsid w:val="002D3591"/>
    <w:rsid w:val="003514A0"/>
    <w:rsid w:val="00426631"/>
    <w:rsid w:val="004F7E17"/>
    <w:rsid w:val="005A05CE"/>
    <w:rsid w:val="00653AF6"/>
    <w:rsid w:val="00724289"/>
    <w:rsid w:val="00772B21"/>
    <w:rsid w:val="00971D91"/>
    <w:rsid w:val="009C1593"/>
    <w:rsid w:val="00B73A5A"/>
    <w:rsid w:val="00B82424"/>
    <w:rsid w:val="00C71C0D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8B32556-06B2-4AD7-B2F7-F021546F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02192E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02192E"/>
  </w:style>
  <w:style w:type="paragraph" w:styleId="a5">
    <w:name w:val="footer"/>
    <w:basedOn w:val="a"/>
    <w:link w:val="a6"/>
    <w:uiPriority w:val="99"/>
    <w:unhideWhenUsed/>
    <w:rsid w:val="0002192E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02192E"/>
  </w:style>
  <w:style w:type="character" w:styleId="a7">
    <w:name w:val="Hyperlink"/>
    <w:basedOn w:val="a0"/>
    <w:uiPriority w:val="99"/>
    <w:rsid w:val="00245A67"/>
    <w:rPr>
      <w:rFonts w:cs="Times New Roman"/>
      <w:color w:val="0000FF"/>
      <w:u w:val="single"/>
    </w:rPr>
  </w:style>
  <w:style w:type="paragraph" w:styleId="a8">
    <w:name w:val="Normal (Web)"/>
    <w:basedOn w:val="a"/>
    <w:uiPriority w:val="99"/>
    <w:unhideWhenUsed/>
    <w:rsid w:val="00245A6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List Paragraph"/>
    <w:basedOn w:val="a"/>
    <w:uiPriority w:val="34"/>
    <w:qFormat/>
    <w:rsid w:val="009C15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072;&#1088;li&#1089;&#1077;&#1091;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15</Pages>
  <Words>4754</Words>
  <Characters>27100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Бурухина Анастасия Валерьевна</cp:lastModifiedBy>
  <cp:revision>6</cp:revision>
  <dcterms:created xsi:type="dcterms:W3CDTF">2011-11-02T04:15:00Z</dcterms:created>
  <dcterms:modified xsi:type="dcterms:W3CDTF">2026-05-29T04:07:00Z</dcterms:modified>
</cp:coreProperties>
</file>